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F4" w:rsidRDefault="009F6C7C">
      <w:pPr>
        <w:pStyle w:val="Standard"/>
        <w:spacing w:line="600" w:lineRule="exact"/>
        <w:jc w:val="center"/>
        <w:rPr>
          <w:rFonts w:ascii="標楷體" w:eastAsia="標楷體" w:hAnsi="標楷體" w:cs="標楷體"/>
          <w:b/>
          <w:sz w:val="36"/>
          <w:szCs w:val="36"/>
        </w:rPr>
      </w:pPr>
      <w:r>
        <w:rPr>
          <w:rFonts w:ascii="標楷體" w:eastAsia="標楷體" w:hAnsi="標楷體" w:cs="標楷體"/>
          <w:b/>
          <w:sz w:val="36"/>
          <w:szCs w:val="36"/>
        </w:rPr>
        <w:t>國立學校社會教育及學術研究機構教育人員退撫給與</w:t>
      </w:r>
    </w:p>
    <w:p w:rsidR="001D4DF4" w:rsidRDefault="009F6C7C">
      <w:pPr>
        <w:pStyle w:val="Standard"/>
        <w:spacing w:line="600" w:lineRule="exact"/>
        <w:jc w:val="center"/>
      </w:pPr>
      <w:r>
        <w:rPr>
          <w:rFonts w:ascii="標楷體" w:eastAsia="標楷體" w:hAnsi="標楷體" w:cs="標楷體"/>
          <w:b/>
          <w:sz w:val="36"/>
          <w:szCs w:val="36"/>
        </w:rPr>
        <w:t>發放作業要點</w:t>
      </w:r>
      <w:r>
        <w:rPr>
          <w:rFonts w:ascii="標楷體" w:eastAsia="標楷體" w:hAnsi="標楷體" w:cs="標楷體"/>
          <w:b/>
          <w:color w:val="000000"/>
          <w:sz w:val="36"/>
          <w:szCs w:val="36"/>
        </w:rPr>
        <w:t>修正規定</w:t>
      </w:r>
    </w:p>
    <w:p w:rsidR="001D4DF4" w:rsidRDefault="001D4DF4">
      <w:pPr>
        <w:pStyle w:val="Standard"/>
        <w:spacing w:line="600" w:lineRule="exact"/>
        <w:jc w:val="center"/>
        <w:rPr>
          <w:rFonts w:ascii="標楷體" w:eastAsia="標楷體" w:hAnsi="標楷體" w:cs="標楷體"/>
          <w:b/>
          <w:color w:val="000000"/>
          <w:sz w:val="32"/>
          <w:szCs w:val="36"/>
        </w:rPr>
      </w:pPr>
    </w:p>
    <w:p w:rsidR="001D4DF4" w:rsidRDefault="009F6C7C">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一、教育部（以下簡稱本部）為利國立學校、社會教育及學術研究機構教育人員退撫給與發放作業之進行，避免誤（溢）發情事，特依學校教職員退休條例施行細則第三十四條第三項及學校教職員撫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條例施行細則第二十四條第三項規定，訂定本要點。</w:t>
      </w:r>
    </w:p>
    <w:p w:rsidR="001D4DF4" w:rsidRDefault="009F6C7C">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二、本要點用詞，定義如下：</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（一）發放機關：指以本部為支給機關之國立學校、社會教育及學術研究機構。</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（二）提供查驗資料機關：指司法院、法務部、內政部、內政部移民署、內政部警政署、衛生福利部、衛生福利部中央健康</w:t>
      </w:r>
      <w:proofErr w:type="gramStart"/>
      <w:r>
        <w:rPr>
          <w:rFonts w:ascii="標楷體" w:eastAsia="標楷體" w:hAnsi="標楷體" w:cs="標楷體"/>
          <w:color w:val="000000"/>
          <w:sz w:val="28"/>
          <w:szCs w:val="28"/>
        </w:rPr>
        <w:t>保險署</w:t>
      </w:r>
      <w:proofErr w:type="gramEnd"/>
      <w:r>
        <w:rPr>
          <w:rFonts w:ascii="標楷體" w:eastAsia="標楷體" w:hAnsi="標楷體" w:cs="標楷體"/>
          <w:color w:val="000000"/>
          <w:sz w:val="28"/>
          <w:szCs w:val="28"/>
        </w:rPr>
        <w:t>、臺灣銀行股份有限公司（以下簡稱臺灣銀行）及勞動部勞工保險局。</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（三）退撫給與：指分別依學校教職員退休條例及學校教職員撫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條例發給之月退休金（包括月補償金）、月撫慰金、年撫卹金。</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（四）領受人：指支領退撫給與之人員或其遺族。</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三、發放機關應辦理事項如下：</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（一）至少每半年與領受人聯繫一次，以了解領受人近況。</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（二）使用全國公</w:t>
      </w:r>
      <w:r>
        <w:rPr>
          <w:rFonts w:ascii="標楷體" w:eastAsia="標楷體" w:hAnsi="標楷體" w:cs="標楷體"/>
          <w:color w:val="000000"/>
          <w:sz w:val="28"/>
          <w:szCs w:val="28"/>
        </w:rPr>
        <w:t>教人員退休撫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（以下簡稱退撫整合平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）查證，對於查證結果存有疑義，或事後知悉相關訊息者，應依循其他方式（例如直接訪察、以雙掛號郵件通知領受人、函請相關機關提供資料等）進行查證，</w:t>
      </w:r>
      <w:proofErr w:type="gramStart"/>
      <w:r>
        <w:rPr>
          <w:rFonts w:ascii="標楷體" w:eastAsia="標楷體" w:hAnsi="標楷體" w:cs="標楷體"/>
          <w:color w:val="000000"/>
          <w:sz w:val="28"/>
          <w:szCs w:val="28"/>
        </w:rPr>
        <w:t>俾</w:t>
      </w:r>
      <w:proofErr w:type="gramEnd"/>
      <w:r>
        <w:rPr>
          <w:rFonts w:ascii="標楷體" w:eastAsia="標楷體" w:hAnsi="標楷體" w:cs="標楷體"/>
          <w:color w:val="000000"/>
          <w:sz w:val="28"/>
          <w:szCs w:val="28"/>
        </w:rPr>
        <w:t>了解領受人居住地區及有無出國、移居國外、旅居大陸地區、喪失或停止領受情形，以利發給退撫給與。</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（三）於每月二十四日前上網連結退撫整合平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，核對並更新領受人姓名、國民身分證統一編號、出生年月日及人數等資料，確實辦理查證事宜，且應於次月五日後，上網連結退撫整合平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，依登載項目了解領受人資料庫中是否具有資料變更或喪失、停止領受事由</w:t>
      </w:r>
      <w:r>
        <w:rPr>
          <w:rFonts w:ascii="標楷體" w:eastAsia="標楷體" w:hAnsi="標楷體" w:cs="標楷體"/>
          <w:color w:val="000000"/>
          <w:sz w:val="28"/>
          <w:szCs w:val="28"/>
        </w:rPr>
        <w:t>。</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（四）登錄於退撫整合平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及因而取得之領受人資料，應依個人資料保護法等相關規定辦理。</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（五）由專責人員使用退撫整合平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查證資料，該專責人員之使用憑證及密碼，應妥為保管，不得提供他人使用。該專責人員離職或職務異動時，應即註銷其使用權限。</w:t>
      </w:r>
    </w:p>
    <w:p w:rsidR="001D4DF4" w:rsidRDefault="009F6C7C">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四、退撫整合平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及提供查驗資料機關應辦理事項如下：</w:t>
      </w:r>
    </w:p>
    <w:p w:rsidR="001D4DF4" w:rsidRDefault="009F6C7C">
      <w:pPr>
        <w:pStyle w:val="Standard"/>
        <w:spacing w:line="500" w:lineRule="exact"/>
        <w:ind w:left="840" w:hanging="840"/>
        <w:jc w:val="both"/>
      </w:pPr>
      <w:r>
        <w:rPr>
          <w:rFonts w:ascii="標楷體" w:eastAsia="標楷體" w:hAnsi="標楷體" w:cs="標楷體"/>
          <w:color w:val="000000"/>
          <w:sz w:val="28"/>
          <w:szCs w:val="28"/>
        </w:rPr>
        <w:t>（一）退撫整合平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於每月二十五日，將領受人資料自動交換至全國公務人力雲端服務平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（以下簡稱雲端服務平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）；提供查驗資料機關於每月二十五日，自雲端服務平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取得領受人資料進行查驗後，於</w:t>
      </w:r>
      <w:r>
        <w:rPr>
          <w:rFonts w:ascii="標楷體" w:eastAsia="標楷體" w:hAnsi="標楷體" w:cs="標楷體"/>
          <w:color w:val="000000"/>
          <w:sz w:val="28"/>
          <w:szCs w:val="28"/>
        </w:rPr>
        <w:t>次月三日前，將查驗結果資料自動交換至雲端服務平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於次月四日前，自雲端服務平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取回查驗結果並自動檢核領受人資料，再於次月五日，刊載於退撫整合平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，提供發放機關查詢。</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（二）提供查驗資料機關應就主管部分，提供下列資料：</w:t>
      </w:r>
    </w:p>
    <w:p w:rsidR="001D4DF4" w:rsidRDefault="009F6C7C">
      <w:pPr>
        <w:pStyle w:val="Standard"/>
        <w:spacing w:line="500" w:lineRule="exact"/>
        <w:ind w:left="979"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、司法院：領受人有無涉案情形。</w:t>
      </w:r>
    </w:p>
    <w:p w:rsidR="001D4DF4" w:rsidRDefault="009F6C7C">
      <w:pPr>
        <w:pStyle w:val="Standard"/>
        <w:spacing w:line="500" w:lineRule="exact"/>
        <w:ind w:left="979"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、法務部：領受人有無褫奪公權、通緝等情事。</w:t>
      </w:r>
    </w:p>
    <w:p w:rsidR="001D4DF4" w:rsidRDefault="009F6C7C">
      <w:pPr>
        <w:pStyle w:val="Standard"/>
        <w:spacing w:line="500" w:lineRule="exact"/>
        <w:ind w:left="979"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、內政部：領受人有無放棄國籍、婚姻狀況、配偶姓名、戶籍地、特殊記事及遷出情形等資料。</w:t>
      </w:r>
    </w:p>
    <w:p w:rsidR="001D4DF4" w:rsidRDefault="009F6C7C">
      <w:pPr>
        <w:pStyle w:val="Standard"/>
        <w:spacing w:line="500" w:lineRule="exact"/>
        <w:ind w:left="979"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、內政部移民署：領受人最近一次出境及入境日期，及非本國籍退休教育人員居留證註銷、到期及換發日期。</w:t>
      </w:r>
    </w:p>
    <w:p w:rsidR="001D4DF4" w:rsidRDefault="009F6C7C">
      <w:pPr>
        <w:pStyle w:val="Standard"/>
        <w:spacing w:line="500" w:lineRule="exact"/>
        <w:ind w:left="979"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、內政部警政</w:t>
      </w:r>
      <w:r>
        <w:rPr>
          <w:rFonts w:ascii="標楷體" w:eastAsia="標楷體" w:hAnsi="標楷體" w:cs="標楷體"/>
          <w:color w:val="000000"/>
          <w:sz w:val="28"/>
          <w:szCs w:val="28"/>
        </w:rPr>
        <w:t>署：領受人有無失蹤情形。</w:t>
      </w:r>
    </w:p>
    <w:p w:rsidR="001D4DF4" w:rsidRDefault="009F6C7C">
      <w:pPr>
        <w:pStyle w:val="Standard"/>
        <w:spacing w:line="500" w:lineRule="exact"/>
        <w:ind w:left="979"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、衛生福利部：領受人有無死亡情形。</w:t>
      </w:r>
    </w:p>
    <w:p w:rsidR="001D4DF4" w:rsidRDefault="009F6C7C">
      <w:pPr>
        <w:pStyle w:val="Standard"/>
        <w:spacing w:line="500" w:lineRule="exact"/>
        <w:ind w:left="979"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、衛生福利部中央健康</w:t>
      </w:r>
      <w:proofErr w:type="gramStart"/>
      <w:r>
        <w:rPr>
          <w:rFonts w:ascii="標楷體" w:eastAsia="標楷體" w:hAnsi="標楷體" w:cs="標楷體"/>
          <w:color w:val="000000"/>
          <w:sz w:val="28"/>
          <w:szCs w:val="28"/>
        </w:rPr>
        <w:t>保險署</w:t>
      </w:r>
      <w:proofErr w:type="gramEnd"/>
      <w:r>
        <w:rPr>
          <w:rFonts w:ascii="標楷體" w:eastAsia="標楷體" w:hAnsi="標楷體" w:cs="標楷體"/>
          <w:color w:val="000000"/>
          <w:sz w:val="28"/>
          <w:szCs w:val="28"/>
        </w:rPr>
        <w:t>、臺灣銀行及勞動部勞工保險局：領受人最近加（退）保日期、投保單位、投保薪資等資料。</w:t>
      </w:r>
    </w:p>
    <w:p w:rsidR="001D4DF4" w:rsidRDefault="009F6C7C">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為落實稽核作業，本部得不定期派員抽查各機關發放資料，並與查驗機關查驗資料比對；如有不符，應即通知發放機關查明。本部及各支給機關對發放機關之回復存有疑義時，得請發放機關提供當年度發放清冊及傳票，以供查核。</w:t>
      </w:r>
    </w:p>
    <w:p w:rsidR="001D4DF4" w:rsidRDefault="009F6C7C">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五、領受人應注意事項如下：</w:t>
      </w:r>
    </w:p>
    <w:p w:rsidR="001D4DF4" w:rsidRDefault="009F6C7C">
      <w:pPr>
        <w:pStyle w:val="Standard"/>
        <w:spacing w:line="500" w:lineRule="exact"/>
        <w:ind w:left="84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（一）領受人有出</w:t>
      </w:r>
      <w:r>
        <w:rPr>
          <w:rFonts w:ascii="標楷體" w:eastAsia="標楷體" w:hAnsi="標楷體" w:cs="標楷體"/>
          <w:color w:val="000000"/>
          <w:sz w:val="28"/>
          <w:szCs w:val="28"/>
        </w:rPr>
        <w:t>(</w:t>
      </w:r>
      <w:r>
        <w:rPr>
          <w:rFonts w:ascii="標楷體" w:eastAsia="標楷體" w:hAnsi="標楷體" w:cs="標楷體"/>
          <w:color w:val="000000"/>
          <w:sz w:val="28"/>
          <w:szCs w:val="28"/>
        </w:rPr>
        <w:t>入</w:t>
      </w:r>
      <w:r>
        <w:rPr>
          <w:rFonts w:ascii="標楷體" w:eastAsia="標楷體" w:hAnsi="標楷體" w:cs="標楷體"/>
          <w:color w:val="000000"/>
          <w:sz w:val="28"/>
          <w:szCs w:val="28"/>
        </w:rPr>
        <w:t>)</w:t>
      </w:r>
      <w:r>
        <w:rPr>
          <w:rFonts w:ascii="標楷體" w:eastAsia="標楷體" w:hAnsi="標楷體" w:cs="標楷體"/>
          <w:color w:val="000000"/>
          <w:sz w:val="28"/>
          <w:szCs w:val="28"/>
        </w:rPr>
        <w:t>境者，應與發放機關聯繫並告知出境前往地區、事由、出境期間及聯絡電話</w:t>
      </w:r>
      <w:r>
        <w:rPr>
          <w:rFonts w:ascii="標楷體" w:eastAsia="標楷體" w:hAnsi="標楷體" w:cs="標楷體"/>
          <w:color w:val="000000"/>
          <w:sz w:val="28"/>
          <w:szCs w:val="28"/>
        </w:rPr>
        <w:t>(</w:t>
      </w:r>
      <w:r>
        <w:rPr>
          <w:rFonts w:ascii="標楷體" w:eastAsia="標楷體" w:hAnsi="標楷體" w:cs="標楷體"/>
          <w:color w:val="000000"/>
          <w:sz w:val="28"/>
          <w:szCs w:val="28"/>
        </w:rPr>
        <w:t>地址</w:t>
      </w:r>
      <w:r>
        <w:rPr>
          <w:rFonts w:ascii="標楷體" w:eastAsia="標楷體" w:hAnsi="標楷體" w:cs="標楷體"/>
          <w:color w:val="000000"/>
          <w:sz w:val="28"/>
          <w:szCs w:val="28"/>
        </w:rPr>
        <w:t>)</w:t>
      </w:r>
      <w:r>
        <w:rPr>
          <w:rFonts w:ascii="標楷體" w:eastAsia="標楷體" w:hAnsi="標楷體" w:cs="標楷體"/>
          <w:color w:val="000000"/>
          <w:sz w:val="28"/>
          <w:szCs w:val="28"/>
        </w:rPr>
        <w:t>、入境時間等，</w:t>
      </w:r>
      <w:proofErr w:type="gramStart"/>
      <w:r>
        <w:rPr>
          <w:rFonts w:ascii="標楷體" w:eastAsia="標楷體" w:hAnsi="標楷體" w:cs="標楷體"/>
          <w:color w:val="000000"/>
          <w:sz w:val="28"/>
          <w:szCs w:val="28"/>
        </w:rPr>
        <w:t>俾</w:t>
      </w:r>
      <w:proofErr w:type="gramEnd"/>
      <w:r>
        <w:rPr>
          <w:rFonts w:ascii="標楷體" w:eastAsia="標楷體" w:hAnsi="標楷體" w:cs="標楷體"/>
          <w:color w:val="000000"/>
          <w:sz w:val="28"/>
          <w:szCs w:val="28"/>
        </w:rPr>
        <w:t>發放機關仍按時發給退撫給與，並與領受人隨時保持聯繫。發放機關如有需要，領受人須配合檢具出國之證明文件，以憑查核。</w:t>
      </w:r>
    </w:p>
    <w:p w:rsidR="001D4DF4" w:rsidRDefault="009F6C7C">
      <w:pPr>
        <w:pStyle w:val="Standard"/>
        <w:autoSpaceDE w:val="0"/>
        <w:spacing w:line="500" w:lineRule="exact"/>
        <w:ind w:left="832"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（二）領受人移居國外者，應於每年十一月三十日前，檢具我國駐外單位驗證之領受人移居國外或定居香港、澳門領取國立學校社會教育及學術研究機構教育人員退撫給與證明書</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以下簡稱證明書，格式如附件一</w:t>
      </w:r>
      <w:r>
        <w:rPr>
          <w:rFonts w:ascii="標楷體" w:eastAsia="標楷體" w:hAnsi="標楷體" w:cs="標楷體"/>
          <w:color w:val="000000"/>
          <w:sz w:val="28"/>
          <w:szCs w:val="28"/>
        </w:rPr>
        <w:t>)</w:t>
      </w:r>
      <w:r>
        <w:rPr>
          <w:rFonts w:ascii="標楷體" w:eastAsia="標楷體" w:hAnsi="標楷體" w:cs="標楷體"/>
          <w:color w:val="000000"/>
          <w:sz w:val="28"/>
          <w:szCs w:val="28"/>
        </w:rPr>
        <w:t>，申請發給。</w:t>
      </w:r>
    </w:p>
    <w:p w:rsidR="001D4DF4" w:rsidRDefault="009F6C7C">
      <w:pPr>
        <w:pStyle w:val="Standard"/>
        <w:spacing w:line="500" w:lineRule="exact"/>
        <w:ind w:left="84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t>（三）領受人定居香港、澳門者，應於每年十一月三十日前，檢具行政院設立或指定之機構或委</w:t>
      </w:r>
      <w:r>
        <w:rPr>
          <w:rFonts w:ascii="標楷體" w:eastAsia="標楷體" w:hAnsi="標楷體" w:cs="標楷體"/>
          <w:color w:val="000000"/>
          <w:sz w:val="28"/>
          <w:szCs w:val="28"/>
        </w:rPr>
        <w:t>託之民間團體驗證之證明書，申請發給。</w:t>
      </w:r>
    </w:p>
    <w:p w:rsidR="001D4DF4" w:rsidRDefault="009F6C7C">
      <w:pPr>
        <w:pStyle w:val="Standard"/>
        <w:spacing w:line="500" w:lineRule="exact"/>
        <w:ind w:left="84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t>（四）領受人移居國外或定居香港、澳門，無法親自申請者，得委託國內親友持我國駐外單位或行政院設立或指定之機構或委託之民間團體驗證之授權書向發放機關申請，經驗證無誤後，依領受人指定領受方式，撥入國內金融機構、郵局帳戶或由國內親友代為領取等方式發給。</w:t>
      </w:r>
    </w:p>
    <w:p w:rsidR="001D4DF4" w:rsidRDefault="009F6C7C">
      <w:pPr>
        <w:pStyle w:val="Standard"/>
        <w:spacing w:line="500" w:lineRule="exact"/>
        <w:ind w:left="84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t>（五）領受人於查驗期間前往大陸地區者，應主動與發放機關聯繫，並依支領月退休給與之公立學校教職員赴大陸地區長期居住</w:t>
      </w:r>
      <w:proofErr w:type="gramStart"/>
      <w:r>
        <w:rPr>
          <w:rFonts w:ascii="標楷體" w:eastAsia="標楷體" w:hAnsi="標楷體" w:cs="標楷體"/>
          <w:color w:val="000000"/>
          <w:sz w:val="28"/>
          <w:szCs w:val="28"/>
        </w:rPr>
        <w:t>改領停領</w:t>
      </w:r>
      <w:proofErr w:type="gramEnd"/>
      <w:r>
        <w:rPr>
          <w:rFonts w:ascii="標楷體" w:eastAsia="標楷體" w:hAnsi="標楷體" w:cs="標楷體"/>
          <w:color w:val="000000"/>
          <w:sz w:val="28"/>
          <w:szCs w:val="28"/>
        </w:rPr>
        <w:t>及恢復退休給與處理辦法第四條第四項、第六條及第七條規定之程序辦理。</w:t>
      </w:r>
    </w:p>
    <w:p w:rsidR="001D4DF4" w:rsidRDefault="009F6C7C">
      <w:pPr>
        <w:pStyle w:val="Standard"/>
        <w:spacing w:line="500" w:lineRule="exact"/>
        <w:ind w:left="846" w:hanging="846"/>
        <w:jc w:val="both"/>
      </w:pPr>
      <w:r>
        <w:rPr>
          <w:rFonts w:ascii="標楷體" w:eastAsia="標楷體" w:hAnsi="標楷體" w:cs="標楷體"/>
          <w:color w:val="000000"/>
          <w:sz w:val="28"/>
          <w:szCs w:val="28"/>
        </w:rPr>
        <w:t>（六）領受人如行蹤不明或發放機關無法聯繫</w:t>
      </w:r>
      <w:r>
        <w:rPr>
          <w:rFonts w:ascii="標楷體" w:eastAsia="標楷體" w:hAnsi="標楷體" w:cs="標楷體"/>
          <w:color w:val="000000"/>
          <w:sz w:val="28"/>
          <w:szCs w:val="28"/>
        </w:rPr>
        <w:t>時，發放機關應主動暫停發放退撫給與，並通知臺灣銀行一併暫停發放優惠存款利息。但已依法令辦理失蹤登記之月退休金及優惠存款利息領受人，不在此限。</w:t>
      </w:r>
    </w:p>
    <w:p w:rsidR="001D4DF4" w:rsidRDefault="009F6C7C">
      <w:pPr>
        <w:pStyle w:val="Standard"/>
        <w:spacing w:line="500" w:lineRule="exact"/>
        <w:ind w:left="84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t>（七）領受人如因案逃亡、藏匿或被通緝，由發放機關主動暫停發放退撫給與，並通知臺灣銀行一併暫停發放優惠存款利息，不適用第二款至第四款及前款但書規定。</w:t>
      </w:r>
    </w:p>
    <w:p w:rsidR="001D4DF4" w:rsidRDefault="009F6C7C">
      <w:pPr>
        <w:pStyle w:val="Standard"/>
        <w:spacing w:line="500" w:lineRule="exact"/>
        <w:ind w:left="84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t>（八）領受人如有退撫給與變更、喪失或停止事由，應主動舉證，向發放機關申請辦理；如有姓名變更、地址異動等情形，應主動以書面通知發放機關更正</w:t>
      </w:r>
      <w:r>
        <w:rPr>
          <w:rFonts w:ascii="標楷體" w:eastAsia="標楷體" w:hAnsi="標楷體" w:cs="標楷體"/>
          <w:color w:val="000000"/>
          <w:sz w:val="28"/>
          <w:szCs w:val="28"/>
        </w:rPr>
        <w:t>(</w:t>
      </w:r>
      <w:r>
        <w:rPr>
          <w:rFonts w:ascii="標楷體" w:eastAsia="標楷體" w:hAnsi="標楷體" w:cs="標楷體"/>
          <w:color w:val="000000"/>
          <w:sz w:val="28"/>
          <w:szCs w:val="28"/>
        </w:rPr>
        <w:t>格式如附件二</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1D4DF4" w:rsidRDefault="009F6C7C">
      <w:pPr>
        <w:pStyle w:val="Standard"/>
        <w:spacing w:line="500" w:lineRule="exact"/>
        <w:ind w:left="84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（九）領受人亡故時，其遺族或服務機關，應儘速通知發放機關及臺灣銀行</w:t>
      </w:r>
      <w:r>
        <w:rPr>
          <w:rFonts w:ascii="標楷體" w:eastAsia="標楷體" w:hAnsi="標楷體" w:cs="標楷體"/>
          <w:color w:val="000000"/>
          <w:sz w:val="28"/>
          <w:szCs w:val="28"/>
        </w:rPr>
        <w:t>，分別停發退撫給與及優惠存款利息。</w:t>
      </w:r>
    </w:p>
    <w:p w:rsidR="001D4DF4" w:rsidRDefault="009F6C7C">
      <w:pPr>
        <w:pStyle w:val="Standard"/>
        <w:spacing w:line="500" w:lineRule="exact"/>
        <w:ind w:left="84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t>六、發放作業如下：</w:t>
      </w:r>
    </w:p>
    <w:p w:rsidR="001D4DF4" w:rsidRDefault="009F6C7C">
      <w:pPr>
        <w:pStyle w:val="Standard"/>
        <w:autoSpaceDE w:val="0"/>
        <w:spacing w:line="500" w:lineRule="exact"/>
        <w:ind w:left="818" w:hanging="818"/>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（一）發放機關審核領受人領受資格無誤後，應造具當年一月份至六月份、七月份至十二月份之月退休金與月撫慰金發給清冊，及一月份至十二月份之年撫卹金發給清冊，通知領受人當期發給日期及應領金額。</w:t>
      </w:r>
    </w:p>
    <w:p w:rsidR="001D4DF4" w:rsidRDefault="009F6C7C">
      <w:pPr>
        <w:pStyle w:val="Standard"/>
        <w:autoSpaceDE w:val="0"/>
        <w:spacing w:line="500" w:lineRule="exact"/>
        <w:ind w:left="818" w:hanging="818"/>
        <w:jc w:val="both"/>
        <w:rPr>
          <w:rFonts w:ascii="標楷體" w:eastAsia="標楷體" w:hAnsi="標楷體" w:cs="標楷體"/>
          <w:color w:val="000000"/>
          <w:sz w:val="28"/>
          <w:szCs w:val="28"/>
        </w:rPr>
      </w:pPr>
      <w:r>
        <w:rPr>
          <w:rFonts w:ascii="標楷體" w:eastAsia="標楷體" w:hAnsi="標楷體" w:cs="標楷體"/>
          <w:color w:val="000000"/>
          <w:sz w:val="28"/>
          <w:szCs w:val="28"/>
        </w:rPr>
        <w:t>（二）發放機關應於每年一月十六日及七月十六日，分別將各項退撫給與直接撥入發放機關指定之國內金融機構或郵局帳戶，或簽發支票</w:t>
      </w:r>
      <w:proofErr w:type="gramStart"/>
      <w:r>
        <w:rPr>
          <w:rFonts w:ascii="標楷體" w:eastAsia="標楷體" w:hAnsi="標楷體" w:cs="標楷體"/>
          <w:color w:val="000000"/>
          <w:sz w:val="28"/>
          <w:szCs w:val="28"/>
        </w:rPr>
        <w:t>逕</w:t>
      </w:r>
      <w:proofErr w:type="gramEnd"/>
      <w:r>
        <w:rPr>
          <w:rFonts w:ascii="標楷體" w:eastAsia="標楷體" w:hAnsi="標楷體" w:cs="標楷體"/>
          <w:color w:val="000000"/>
          <w:sz w:val="28"/>
          <w:szCs w:val="28"/>
        </w:rPr>
        <w:t>送領受人。退撫給與發給後，遇有公務人員俸給調整而未及於上開日期調整</w:t>
      </w:r>
      <w:proofErr w:type="gramStart"/>
      <w:r>
        <w:rPr>
          <w:rFonts w:ascii="標楷體" w:eastAsia="標楷體" w:hAnsi="標楷體" w:cs="標楷體"/>
          <w:color w:val="000000"/>
          <w:sz w:val="28"/>
          <w:szCs w:val="28"/>
        </w:rPr>
        <w:t>支給者</w:t>
      </w:r>
      <w:proofErr w:type="gramEnd"/>
      <w:r>
        <w:rPr>
          <w:rFonts w:ascii="標楷體" w:eastAsia="標楷體" w:hAnsi="標楷體" w:cs="標楷體"/>
          <w:color w:val="000000"/>
          <w:sz w:val="28"/>
          <w:szCs w:val="28"/>
        </w:rPr>
        <w:t>，發放機關應於發給下一期退撫給與時，補足差額並調整發給金額。</w:t>
      </w:r>
    </w:p>
    <w:p w:rsidR="001D4DF4" w:rsidRDefault="009F6C7C">
      <w:pPr>
        <w:pStyle w:val="Standard"/>
        <w:autoSpaceDE w:val="0"/>
        <w:spacing w:line="500" w:lineRule="exact"/>
        <w:ind w:left="818" w:hanging="818"/>
        <w:jc w:val="both"/>
        <w:rPr>
          <w:rFonts w:ascii="標楷體" w:eastAsia="標楷體" w:hAnsi="標楷體" w:cs="標楷體"/>
          <w:color w:val="000000"/>
          <w:sz w:val="28"/>
          <w:szCs w:val="28"/>
        </w:rPr>
      </w:pPr>
      <w:r>
        <w:rPr>
          <w:rFonts w:ascii="標楷體" w:eastAsia="標楷體" w:hAnsi="標楷體" w:cs="標楷體"/>
          <w:color w:val="000000"/>
          <w:sz w:val="28"/>
          <w:szCs w:val="28"/>
        </w:rPr>
        <w:t>（三）發放機關發給退撫給與後，應檢同印有退撫整合平</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浮水印之發放清冊，依學校教職員退休條例或學校教職員撫</w:t>
      </w:r>
      <w:proofErr w:type="gramStart"/>
      <w:r>
        <w:rPr>
          <w:rFonts w:ascii="標楷體" w:eastAsia="標楷體" w:hAnsi="標楷體" w:cs="標楷體"/>
          <w:color w:val="000000"/>
          <w:sz w:val="28"/>
          <w:szCs w:val="28"/>
        </w:rPr>
        <w:t>卹</w:t>
      </w:r>
      <w:proofErr w:type="gramEnd"/>
      <w:r>
        <w:rPr>
          <w:rFonts w:ascii="標楷體" w:eastAsia="標楷體" w:hAnsi="標楷體" w:cs="標楷體"/>
          <w:color w:val="000000"/>
          <w:sz w:val="28"/>
          <w:szCs w:val="28"/>
        </w:rPr>
        <w:t>條例等規定，辦理核銷作業。</w:t>
      </w:r>
    </w:p>
    <w:p w:rsidR="001D4DF4" w:rsidRDefault="009F6C7C">
      <w:pPr>
        <w:pStyle w:val="Standard"/>
        <w:autoSpaceDE w:val="0"/>
        <w:spacing w:line="5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七、追繳作業如下：</w:t>
      </w:r>
    </w:p>
    <w:p w:rsidR="001D4DF4" w:rsidRDefault="009F6C7C">
      <w:pPr>
        <w:pStyle w:val="Standard"/>
        <w:autoSpaceDE w:val="0"/>
        <w:spacing w:line="500" w:lineRule="exact"/>
        <w:ind w:left="832"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（一）發放機關發給退撫給與後，發現領受人有喪失或停止領受情形，且領受人未主動繳還者，應積極辦理追繳作業，並通知領受人於三個月內繳還，同時副知本部；</w:t>
      </w:r>
      <w:proofErr w:type="gramStart"/>
      <w:r>
        <w:rPr>
          <w:rFonts w:ascii="標楷體" w:eastAsia="標楷體" w:hAnsi="標楷體" w:cs="標楷體"/>
          <w:color w:val="000000"/>
          <w:sz w:val="28"/>
          <w:szCs w:val="28"/>
        </w:rPr>
        <w:t>迄繳還</w:t>
      </w:r>
      <w:proofErr w:type="gramEnd"/>
      <w:r>
        <w:rPr>
          <w:rFonts w:ascii="標楷體" w:eastAsia="標楷體" w:hAnsi="標楷體" w:cs="標楷體"/>
          <w:color w:val="000000"/>
          <w:sz w:val="28"/>
          <w:szCs w:val="28"/>
        </w:rPr>
        <w:t>期限屆滿仍未繳還者，應檢具相關文件送本部依法辦理。</w:t>
      </w:r>
    </w:p>
    <w:p w:rsidR="001D4DF4" w:rsidRDefault="009F6C7C">
      <w:pPr>
        <w:pStyle w:val="Standard"/>
        <w:autoSpaceDE w:val="0"/>
        <w:spacing w:line="500" w:lineRule="exact"/>
        <w:ind w:left="832"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（二）本部於收受發放機關移送之領受人溢領退撫給與逾期未繳還案件後，應依行政執行法第十一條第一項規定，移請法務部行政執行署各分署執行。</w:t>
      </w:r>
    </w:p>
    <w:p w:rsidR="001D4DF4" w:rsidRDefault="009F6C7C">
      <w:pPr>
        <w:pStyle w:val="Standard"/>
        <w:autoSpaceDE w:val="0"/>
        <w:spacing w:line="500" w:lineRule="exact"/>
        <w:ind w:left="538" w:hanging="538"/>
        <w:jc w:val="both"/>
        <w:rPr>
          <w:rFonts w:ascii="標楷體" w:eastAsia="標楷體" w:hAnsi="標楷體" w:cs="標楷體"/>
          <w:color w:val="000000"/>
          <w:sz w:val="28"/>
          <w:szCs w:val="28"/>
        </w:rPr>
      </w:pPr>
      <w:r>
        <w:rPr>
          <w:rFonts w:ascii="標楷體" w:eastAsia="標楷體" w:hAnsi="標楷體" w:cs="標楷體"/>
          <w:color w:val="000000"/>
          <w:sz w:val="28"/>
          <w:szCs w:val="28"/>
        </w:rPr>
        <w:t>八、發放機關辦理發放</w:t>
      </w:r>
      <w:r>
        <w:rPr>
          <w:rFonts w:ascii="標楷體" w:eastAsia="標楷體" w:hAnsi="標楷體" w:cs="標楷體"/>
          <w:color w:val="000000"/>
          <w:sz w:val="28"/>
          <w:szCs w:val="28"/>
        </w:rPr>
        <w:t>作業完善而無誤或有疏忽致誤（溢）發情事，其承辦人員及主管人員，得視實際辦理情況，依公務人員考績法及相關規定給予獎懲。</w:t>
      </w:r>
    </w:p>
    <w:p w:rsidR="001D4DF4" w:rsidRDefault="009F6C7C">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九、一次退休（職）金、公保養老給付辦理優惠存款、三節慰問金及年節</w:t>
      </w:r>
      <w:proofErr w:type="gramStart"/>
      <w:r>
        <w:rPr>
          <w:rFonts w:ascii="標楷體" w:eastAsia="標楷體" w:hAnsi="標楷體" w:cs="標楷體"/>
          <w:color w:val="000000"/>
          <w:sz w:val="28"/>
          <w:szCs w:val="28"/>
        </w:rPr>
        <w:t>照護金發放</w:t>
      </w:r>
      <w:proofErr w:type="gramEnd"/>
      <w:r>
        <w:rPr>
          <w:rFonts w:ascii="標楷體" w:eastAsia="標楷體" w:hAnsi="標楷體" w:cs="標楷體"/>
          <w:color w:val="000000"/>
          <w:sz w:val="28"/>
          <w:szCs w:val="28"/>
        </w:rPr>
        <w:t>之資格查驗，得</w:t>
      </w:r>
      <w:proofErr w:type="gramStart"/>
      <w:r>
        <w:rPr>
          <w:rFonts w:ascii="標楷體" w:eastAsia="標楷體" w:hAnsi="標楷體" w:cs="標楷體"/>
          <w:color w:val="000000"/>
          <w:sz w:val="28"/>
          <w:szCs w:val="28"/>
        </w:rPr>
        <w:t>準用第</w:t>
      </w:r>
      <w:proofErr w:type="gramEnd"/>
      <w:r>
        <w:rPr>
          <w:rFonts w:ascii="標楷體" w:eastAsia="標楷體" w:hAnsi="標楷體" w:cs="標楷體"/>
          <w:color w:val="000000"/>
          <w:sz w:val="28"/>
          <w:szCs w:val="28"/>
        </w:rPr>
        <w:t>三點至第五點規定辦理。</w:t>
      </w:r>
    </w:p>
    <w:p w:rsidR="001D4DF4" w:rsidRDefault="009F6C7C">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十、直轄市、縣</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市</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政府辦理所屬學校教育人員退撫給與發放作業，得</w:t>
      </w:r>
      <w:proofErr w:type="gramStart"/>
      <w:r>
        <w:rPr>
          <w:rFonts w:ascii="標楷體" w:eastAsia="標楷體" w:hAnsi="標楷體" w:cs="標楷體"/>
          <w:color w:val="000000"/>
          <w:sz w:val="28"/>
          <w:szCs w:val="28"/>
        </w:rPr>
        <w:lastRenderedPageBreak/>
        <w:t>準用第</w:t>
      </w:r>
      <w:proofErr w:type="gramEnd"/>
      <w:r>
        <w:rPr>
          <w:rFonts w:ascii="標楷體" w:eastAsia="標楷體" w:hAnsi="標楷體" w:cs="標楷體"/>
          <w:color w:val="000000"/>
          <w:sz w:val="28"/>
          <w:szCs w:val="28"/>
        </w:rPr>
        <w:t>三點至第六點及第九點規定。</w:t>
      </w:r>
    </w:p>
    <w:p w:rsidR="001D4DF4" w:rsidRDefault="001D4DF4">
      <w:pPr>
        <w:pStyle w:val="Standard"/>
        <w:spacing w:line="500" w:lineRule="exact"/>
        <w:ind w:left="560" w:hanging="560"/>
        <w:jc w:val="both"/>
        <w:rPr>
          <w:rFonts w:ascii="標楷體" w:eastAsia="標楷體" w:hAnsi="標楷體" w:cs="標楷體"/>
          <w:color w:val="000000"/>
          <w:sz w:val="28"/>
          <w:szCs w:val="28"/>
        </w:rPr>
      </w:pPr>
    </w:p>
    <w:p w:rsidR="001D4DF4" w:rsidRDefault="009F6C7C">
      <w:pPr>
        <w:pStyle w:val="Standard"/>
        <w:spacing w:line="600" w:lineRule="exact"/>
        <w:jc w:val="center"/>
      </w:pPr>
      <w:r>
        <w:rPr>
          <w:rFonts w:ascii="標楷體" w:eastAsia="標楷體" w:hAnsi="標楷體" w:cs="標楷體"/>
          <w:b/>
          <w:sz w:val="40"/>
          <w:szCs w:val="40"/>
        </w:rPr>
        <w:t xml:space="preserve"> </w:t>
      </w:r>
      <w:r>
        <w:rPr>
          <w:rFonts w:ascii="標楷體" w:eastAsia="標楷體" w:hAnsi="標楷體" w:cs="標楷體"/>
          <w:b/>
          <w:sz w:val="22"/>
          <w:szCs w:val="40"/>
        </w:rPr>
        <w:t xml:space="preserve"> </w:t>
      </w:r>
    </w:p>
    <w:p w:rsidR="001D4DF4" w:rsidRDefault="009F6C7C">
      <w:pPr>
        <w:pStyle w:val="Standard"/>
        <w:spacing w:line="600" w:lineRule="exact"/>
        <w:jc w:val="center"/>
        <w:rPr>
          <w:rFonts w:ascii="標楷體" w:eastAsia="標楷體" w:hAnsi="標楷體" w:cs="標楷體"/>
          <w:b/>
          <w:sz w:val="40"/>
          <w:szCs w:val="40"/>
        </w:rPr>
      </w:pPr>
      <w:r>
        <w:rPr>
          <w:rFonts w:ascii="標楷體" w:eastAsia="標楷體" w:hAnsi="標楷體" w:cs="標楷體"/>
          <w:b/>
          <w:noProof/>
          <w:sz w:val="40"/>
          <w:szCs w:val="40"/>
        </w:rPr>
        <mc:AlternateContent>
          <mc:Choice Requires="wps">
            <w:drawing>
              <wp:anchor distT="0" distB="0" distL="114300" distR="114300" simplePos="0" relativeHeight="251659264" behindDoc="1" locked="0" layoutInCell="1" allowOverlap="1">
                <wp:simplePos x="0" y="0"/>
                <wp:positionH relativeFrom="column">
                  <wp:posOffset>-306000</wp:posOffset>
                </wp:positionH>
                <wp:positionV relativeFrom="paragraph">
                  <wp:posOffset>-274320</wp:posOffset>
                </wp:positionV>
                <wp:extent cx="700920" cy="314280"/>
                <wp:effectExtent l="0" t="0" r="0" b="0"/>
                <wp:wrapNone/>
                <wp:docPr id="1" name="框架1"/>
                <wp:cNvGraphicFramePr/>
                <a:graphic xmlns:a="http://schemas.openxmlformats.org/drawingml/2006/main">
                  <a:graphicData uri="http://schemas.microsoft.com/office/word/2010/wordprocessingShape">
                    <wps:wsp>
                      <wps:cNvSpPr txBox="1"/>
                      <wps:spPr>
                        <a:xfrm>
                          <a:off x="0" y="0"/>
                          <a:ext cx="700920" cy="314280"/>
                        </a:xfrm>
                        <a:prstGeom prst="rect">
                          <a:avLst/>
                        </a:prstGeom>
                        <a:ln>
                          <a:noFill/>
                          <a:prstDash/>
                        </a:ln>
                      </wps:spPr>
                      <wps:txbx>
                        <w:txbxContent>
                          <w:p w:rsidR="001D4DF4" w:rsidRDefault="009F6C7C">
                            <w:pPr>
                              <w:pStyle w:val="Standard"/>
                              <w:rPr>
                                <w:rFonts w:ascii="標楷體" w:eastAsia="標楷體" w:hAnsi="標楷體" w:cs="標楷體"/>
                              </w:rPr>
                            </w:pPr>
                            <w:r>
                              <w:rPr>
                                <w:rFonts w:ascii="標楷體" w:eastAsia="標楷體" w:hAnsi="標楷體" w:cs="標楷體"/>
                              </w:rPr>
                              <w:t>附件一</w:t>
                            </w:r>
                          </w:p>
                        </w:txbxContent>
                      </wps:txbx>
                      <wps:bodyPr vert="horz" wrap="none" lIns="92160" tIns="46440" rIns="92160" bIns="4644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24.1pt;margin-top:-21.6pt;width:55.2pt;height:24.7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" filled="f" stroked="f">
                <v:textbox inset="2.56mm,1.29mm,2.56mm,1.29mm">
                  <w:txbxContent>
                    <w:p w:rsidR="001D4DF4" w:rsidRDefault="009F6C7C">
                      <w:pPr>
                        <w:pStyle w:val="Standard"/>
                        <w:rPr>
                          <w:rFonts w:ascii="標楷體" w:eastAsia="標楷體" w:hAnsi="標楷體" w:cs="標楷體"/>
                        </w:rPr>
                      </w:pPr>
                      <w:r>
                        <w:rPr>
                          <w:rFonts w:ascii="標楷體" w:eastAsia="標楷體" w:hAnsi="標楷體" w:cs="標楷體"/>
                        </w:rPr>
                        <w:t>附件一</w:t>
                      </w:r>
                    </w:p>
                  </w:txbxContent>
                </v:textbox>
              </v:shape>
            </w:pict>
          </mc:Fallback>
        </mc:AlternateContent>
      </w:r>
      <w:r>
        <w:rPr>
          <w:rFonts w:ascii="標楷體" w:eastAsia="標楷體" w:hAnsi="標楷體" w:cs="標楷體"/>
          <w:b/>
          <w:sz w:val="40"/>
          <w:szCs w:val="40"/>
        </w:rPr>
        <w:t>領受人移居國外或定居香港、澳門領取國立學校社會教育及學術研究機構教育人員退撫給與證明書</w:t>
      </w:r>
    </w:p>
    <w:p w:rsidR="001D4DF4" w:rsidRDefault="001D4DF4">
      <w:pPr>
        <w:pStyle w:val="Standard"/>
        <w:spacing w:line="600" w:lineRule="exact"/>
        <w:jc w:val="center"/>
        <w:rPr>
          <w:rFonts w:ascii="標楷體" w:eastAsia="標楷體" w:hAnsi="標楷體" w:cs="標楷體"/>
          <w:b/>
          <w:sz w:val="40"/>
          <w:szCs w:val="40"/>
        </w:rPr>
      </w:pPr>
    </w:p>
    <w:p w:rsidR="001D4DF4" w:rsidRDefault="009F6C7C">
      <w:pPr>
        <w:pStyle w:val="Standard"/>
        <w:spacing w:line="700" w:lineRule="exac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7657809</wp:posOffset>
                </wp:positionH>
                <wp:positionV relativeFrom="paragraph">
                  <wp:posOffset>4014854</wp:posOffset>
                </wp:positionV>
                <wp:extent cx="2287080" cy="532440"/>
                <wp:effectExtent l="1020" t="0" r="0" b="0"/>
                <wp:wrapNone/>
                <wp:docPr id="2" name="文字方塊 2"/>
                <wp:cNvGraphicFramePr/>
                <a:graphic xmlns:a="http://schemas.openxmlformats.org/drawingml/2006/main">
                  <a:graphicData uri="http://schemas.microsoft.com/office/word/2010/wordprocessingShape">
                    <wps:wsp>
                      <wps:cNvSpPr txBox="1"/>
                      <wps:spPr>
                        <a:xfrm rot="5400000">
                          <a:off x="0" y="0"/>
                          <a:ext cx="2287080" cy="532440"/>
                        </a:xfrm>
                        <a:prstGeom prst="rect">
                          <a:avLst/>
                        </a:prstGeom>
                        <a:solidFill>
                          <a:srgbClr val="FFFFFF"/>
                        </a:solidFill>
                        <a:ln>
                          <a:noFill/>
                        </a:ln>
                      </wps:spPr>
                      <wps:txbx>
                        <w:txbxContent>
                          <w:p w:rsidR="001D4DF4" w:rsidRDefault="001D4DF4">
                            <w:pPr>
                              <w:rPr>
                                <w:rFonts w:hint="eastAsia"/>
                              </w:rPr>
                            </w:pPr>
                          </w:p>
                        </w:txbxContent>
                      </wps:txbx>
                      <wps:bodyPr vert="horz" wrap="square" lIns="45720" tIns="91440" rIns="45720" bIns="91440" anchor="t" anchorCtr="0" compatLnSpc="0"/>
                    </wps:wsp>
                  </a:graphicData>
                </a:graphic>
              </wp:anchor>
            </w:drawing>
          </mc:Choice>
          <mc:Fallback>
            <w:pict>
              <v:shape id="文字方塊 2" o:spid="_x0000_s1027" type="#_x0000_t202" style="position:absolute;left:0;text-align:left;margin-left:603pt;margin-top:316.15pt;width:180.1pt;height:41.9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" stroked="f">
                <v:textbox inset="3.6pt,7.2pt,3.6pt,7.2pt">
                  <w:txbxContent>
                    <w:p w:rsidR="001D4DF4" w:rsidRDefault="001D4DF4">
                      <w:pPr>
                        <w:rPr>
                          <w:rFonts w:hint="eastAsia"/>
                        </w:rPr>
                      </w:pPr>
                    </w:p>
                  </w:txbxContent>
                </v:textbox>
              </v:shape>
            </w:pict>
          </mc:Fallback>
        </mc:AlternateContent>
      </w:r>
      <w:r>
        <w:rPr>
          <w:rFonts w:eastAsia="標楷體"/>
          <w:sz w:val="40"/>
          <w:szCs w:val="40"/>
        </w:rPr>
        <w:t>本人</w:t>
      </w:r>
      <w:r>
        <w:rPr>
          <w:rFonts w:eastAsia="Times New Roman"/>
          <w:sz w:val="40"/>
          <w:szCs w:val="40"/>
          <w:u w:val="single"/>
        </w:rPr>
        <w:t xml:space="preserve">                  </w:t>
      </w:r>
      <w:r>
        <w:rPr>
          <w:rFonts w:eastAsia="標楷體"/>
          <w:sz w:val="40"/>
          <w:szCs w:val="40"/>
        </w:rPr>
        <w:t>(</w:t>
      </w:r>
      <w:r>
        <w:rPr>
          <w:rFonts w:eastAsia="標楷體"/>
          <w:sz w:val="40"/>
          <w:szCs w:val="40"/>
        </w:rPr>
        <w:t>身分</w:t>
      </w:r>
      <w:proofErr w:type="gramStart"/>
      <w:r>
        <w:rPr>
          <w:rFonts w:eastAsia="標楷體"/>
          <w:sz w:val="40"/>
          <w:szCs w:val="40"/>
        </w:rPr>
        <w:t>證統號</w:t>
      </w:r>
      <w:proofErr w:type="gramEnd"/>
      <w:r>
        <w:rPr>
          <w:rFonts w:eastAsia="標楷體"/>
          <w:sz w:val="40"/>
          <w:szCs w:val="40"/>
        </w:rPr>
        <w:t>：</w:t>
      </w:r>
      <w:r>
        <w:rPr>
          <w:rFonts w:eastAsia="Times New Roman"/>
          <w:sz w:val="40"/>
          <w:szCs w:val="40"/>
          <w:u w:val="single"/>
        </w:rPr>
        <w:t xml:space="preserve">                        </w:t>
      </w:r>
      <w:r>
        <w:rPr>
          <w:rFonts w:eastAsia="標楷體"/>
          <w:sz w:val="40"/>
          <w:szCs w:val="40"/>
          <w:u w:val="single"/>
        </w:rPr>
        <w:t>)</w:t>
      </w:r>
      <w:r>
        <w:rPr>
          <w:rFonts w:eastAsia="標楷體"/>
          <w:sz w:val="40"/>
          <w:szCs w:val="40"/>
        </w:rPr>
        <w:t>係支領</w:t>
      </w:r>
      <w:r>
        <w:rPr>
          <w:rFonts w:ascii="標楷體" w:eastAsia="標楷體" w:hAnsi="標楷體" w:cs="標楷體"/>
          <w:sz w:val="40"/>
          <w:szCs w:val="40"/>
        </w:rPr>
        <w:t>□</w:t>
      </w:r>
      <w:r>
        <w:rPr>
          <w:rFonts w:eastAsia="標楷體"/>
          <w:sz w:val="40"/>
          <w:szCs w:val="40"/>
        </w:rPr>
        <w:t>月退休金</w:t>
      </w:r>
      <w:r>
        <w:rPr>
          <w:rFonts w:ascii="標楷體" w:eastAsia="標楷體" w:hAnsi="標楷體" w:cs="標楷體"/>
          <w:sz w:val="40"/>
          <w:szCs w:val="40"/>
        </w:rPr>
        <w:t>□</w:t>
      </w:r>
      <w:r>
        <w:rPr>
          <w:rFonts w:ascii="標楷體" w:eastAsia="標楷體" w:hAnsi="標楷體" w:cs="標楷體"/>
          <w:sz w:val="40"/>
          <w:szCs w:val="40"/>
        </w:rPr>
        <w:t>月撫慰金</w:t>
      </w:r>
      <w:r>
        <w:rPr>
          <w:rFonts w:ascii="標楷體" w:eastAsia="標楷體" w:hAnsi="標楷體" w:cs="標楷體"/>
          <w:sz w:val="40"/>
          <w:szCs w:val="40"/>
        </w:rPr>
        <w:t>□</w:t>
      </w:r>
      <w:r>
        <w:rPr>
          <w:rFonts w:ascii="標楷體" w:eastAsia="標楷體" w:hAnsi="標楷體" w:cs="標楷體"/>
          <w:sz w:val="40"/>
          <w:szCs w:val="40"/>
        </w:rPr>
        <w:t>年撫卹金</w:t>
      </w:r>
      <w:r>
        <w:rPr>
          <w:rFonts w:ascii="標楷體" w:eastAsia="標楷體" w:hAnsi="標楷體" w:cs="標楷體"/>
          <w:sz w:val="40"/>
          <w:szCs w:val="40"/>
        </w:rPr>
        <w:t>(</w:t>
      </w:r>
      <w:proofErr w:type="gramStart"/>
      <w:r>
        <w:rPr>
          <w:rFonts w:ascii="標楷體" w:eastAsia="標楷體" w:hAnsi="標楷體" w:cs="標楷體"/>
          <w:sz w:val="40"/>
          <w:szCs w:val="40"/>
        </w:rPr>
        <w:t>依請領</w:t>
      </w:r>
      <w:proofErr w:type="gramEnd"/>
      <w:r>
        <w:rPr>
          <w:rFonts w:ascii="標楷體" w:eastAsia="標楷體" w:hAnsi="標楷體" w:cs="標楷體"/>
          <w:sz w:val="40"/>
          <w:szCs w:val="40"/>
        </w:rPr>
        <w:t>項目勾選</w:t>
      </w:r>
      <w:proofErr w:type="gramStart"/>
      <w:r>
        <w:rPr>
          <w:rFonts w:eastAsia="標楷體"/>
          <w:sz w:val="40"/>
          <w:szCs w:val="40"/>
        </w:rPr>
        <w:t>其一</w:t>
      </w:r>
      <w:r>
        <w:rPr>
          <w:rFonts w:eastAsia="標楷體"/>
          <w:sz w:val="40"/>
          <w:szCs w:val="40"/>
        </w:rPr>
        <w:t>)</w:t>
      </w:r>
      <w:proofErr w:type="gramEnd"/>
      <w:r>
        <w:rPr>
          <w:rFonts w:eastAsia="標楷體"/>
          <w:sz w:val="40"/>
          <w:szCs w:val="40"/>
        </w:rPr>
        <w:t>之領受人。目前因移居國外</w:t>
      </w:r>
      <w:r>
        <w:rPr>
          <w:rFonts w:eastAsia="標楷體"/>
          <w:sz w:val="40"/>
          <w:szCs w:val="40"/>
        </w:rPr>
        <w:t>或定居香港、澳門</w:t>
      </w:r>
      <w:r>
        <w:rPr>
          <w:rFonts w:eastAsia="標楷體"/>
          <w:sz w:val="40"/>
          <w:szCs w:val="40"/>
        </w:rPr>
        <w:t>，為領取退撫給與，</w:t>
      </w:r>
      <w:proofErr w:type="gramStart"/>
      <w:r>
        <w:rPr>
          <w:rFonts w:eastAsia="標楷體"/>
          <w:sz w:val="40"/>
          <w:szCs w:val="40"/>
        </w:rPr>
        <w:t>謹依國立</w:t>
      </w:r>
      <w:proofErr w:type="gramEnd"/>
      <w:r>
        <w:rPr>
          <w:rFonts w:eastAsia="標楷體"/>
          <w:sz w:val="40"/>
          <w:szCs w:val="40"/>
        </w:rPr>
        <w:t>學校社會教育及學術研究機構教育人員退撫給與發放作業要點規定，特立此書以資證明。</w:t>
      </w:r>
    </w:p>
    <w:p w:rsidR="001D4DF4" w:rsidRDefault="001D4DF4">
      <w:pPr>
        <w:pStyle w:val="Standard"/>
        <w:spacing w:line="600" w:lineRule="exact"/>
        <w:rPr>
          <w:rFonts w:eastAsia="標楷體"/>
          <w:sz w:val="40"/>
          <w:szCs w:val="40"/>
        </w:rPr>
      </w:pPr>
    </w:p>
    <w:p w:rsidR="001D4DF4" w:rsidRDefault="001D4DF4">
      <w:pPr>
        <w:pStyle w:val="Standard"/>
        <w:spacing w:line="600" w:lineRule="exact"/>
        <w:rPr>
          <w:rFonts w:eastAsia="標楷體"/>
          <w:sz w:val="40"/>
          <w:szCs w:val="40"/>
        </w:rPr>
      </w:pPr>
    </w:p>
    <w:p w:rsidR="001D4DF4" w:rsidRDefault="009F6C7C">
      <w:pPr>
        <w:pStyle w:val="Standard"/>
        <w:spacing w:line="600" w:lineRule="exact"/>
        <w:jc w:val="center"/>
        <w:rPr>
          <w:rFonts w:eastAsia="標楷體"/>
          <w:sz w:val="40"/>
          <w:szCs w:val="40"/>
        </w:rPr>
      </w:pPr>
      <w:r>
        <w:rPr>
          <w:rFonts w:eastAsia="標楷體"/>
          <w:sz w:val="40"/>
          <w:szCs w:val="40"/>
        </w:rPr>
        <w:t>立切結書人：</w:t>
      </w:r>
    </w:p>
    <w:p w:rsidR="001D4DF4" w:rsidRDefault="009F6C7C">
      <w:pPr>
        <w:pStyle w:val="Standard"/>
        <w:spacing w:line="600" w:lineRule="exact"/>
        <w:ind w:right="532"/>
        <w:jc w:val="center"/>
        <w:rPr>
          <w:sz w:val="28"/>
          <w:szCs w:val="28"/>
        </w:rPr>
      </w:pPr>
      <w:r>
        <w:rPr>
          <w:rFonts w:eastAsia="Times New Roman"/>
          <w:sz w:val="28"/>
          <w:szCs w:val="28"/>
        </w:rPr>
        <w:t xml:space="preserve">                                                </w:t>
      </w:r>
      <w:r>
        <w:rPr>
          <w:rFonts w:eastAsia="標楷體"/>
          <w:sz w:val="28"/>
          <w:szCs w:val="28"/>
        </w:rPr>
        <w:t>簽名及蓋章</w:t>
      </w:r>
    </w:p>
    <w:p w:rsidR="001D4DF4" w:rsidRDefault="001D4DF4">
      <w:pPr>
        <w:pStyle w:val="Standard"/>
        <w:spacing w:line="600" w:lineRule="exact"/>
        <w:rPr>
          <w:rFonts w:eastAsia="標楷體"/>
          <w:sz w:val="40"/>
          <w:szCs w:val="40"/>
        </w:rPr>
      </w:pPr>
    </w:p>
    <w:p w:rsidR="001D4DF4" w:rsidRDefault="001D4DF4">
      <w:pPr>
        <w:pStyle w:val="Standard"/>
        <w:rPr>
          <w:rFonts w:eastAsia="標楷體"/>
          <w:sz w:val="40"/>
          <w:szCs w:val="40"/>
        </w:rPr>
      </w:pPr>
    </w:p>
    <w:p w:rsidR="001D4DF4" w:rsidRDefault="001D4DF4">
      <w:pPr>
        <w:pStyle w:val="Standard"/>
        <w:rPr>
          <w:rFonts w:eastAsia="標楷體"/>
          <w:sz w:val="40"/>
          <w:szCs w:val="40"/>
        </w:rPr>
      </w:pPr>
    </w:p>
    <w:p w:rsidR="001D4DF4" w:rsidRDefault="001D4DF4">
      <w:pPr>
        <w:pStyle w:val="Standard"/>
        <w:rPr>
          <w:rFonts w:eastAsia="標楷體"/>
          <w:sz w:val="40"/>
          <w:szCs w:val="40"/>
        </w:rPr>
      </w:pPr>
    </w:p>
    <w:p w:rsidR="001D4DF4" w:rsidRDefault="009F6C7C">
      <w:pPr>
        <w:pStyle w:val="Standard"/>
        <w:spacing w:line="460" w:lineRule="exact"/>
        <w:jc w:val="both"/>
        <w:rPr>
          <w:rFonts w:eastAsia="標楷體"/>
          <w:sz w:val="32"/>
          <w:szCs w:val="20"/>
        </w:rPr>
      </w:pPr>
      <w:r>
        <w:rPr>
          <w:rFonts w:eastAsia="標楷體"/>
          <w:sz w:val="32"/>
          <w:szCs w:val="20"/>
        </w:rPr>
        <w:t>中華民國　　　年　　月　　日</w:t>
      </w:r>
    </w:p>
    <w:p w:rsidR="001D4DF4" w:rsidRDefault="009F6C7C">
      <w:pPr>
        <w:pStyle w:val="Standard"/>
        <w:spacing w:line="460" w:lineRule="exact"/>
        <w:rPr>
          <w:rFonts w:eastAsia="標楷體"/>
          <w:sz w:val="28"/>
          <w:szCs w:val="28"/>
        </w:rPr>
      </w:pPr>
      <w:r>
        <w:rPr>
          <w:rFonts w:eastAsia="標楷體"/>
          <w:sz w:val="28"/>
          <w:szCs w:val="28"/>
        </w:rPr>
        <w:t>備註：本證明書自我國駐外館</w:t>
      </w:r>
      <w:r>
        <w:rPr>
          <w:rFonts w:eastAsia="標楷體"/>
          <w:sz w:val="28"/>
          <w:szCs w:val="28"/>
        </w:rPr>
        <w:t>(</w:t>
      </w:r>
      <w:r>
        <w:rPr>
          <w:rFonts w:eastAsia="標楷體"/>
          <w:sz w:val="28"/>
          <w:szCs w:val="28"/>
        </w:rPr>
        <w:t>處</w:t>
      </w:r>
      <w:r>
        <w:rPr>
          <w:rFonts w:eastAsia="標楷體"/>
          <w:sz w:val="28"/>
          <w:szCs w:val="28"/>
        </w:rPr>
        <w:t>)</w:t>
      </w:r>
      <w:r>
        <w:rPr>
          <w:rFonts w:eastAsia="標楷體"/>
          <w:sz w:val="28"/>
          <w:szCs w:val="28"/>
        </w:rPr>
        <w:t>驗證日起</w:t>
      </w:r>
      <w:r>
        <w:rPr>
          <w:rFonts w:eastAsia="標楷體"/>
          <w:sz w:val="28"/>
          <w:szCs w:val="28"/>
        </w:rPr>
        <w:t>1</w:t>
      </w:r>
      <w:r>
        <w:rPr>
          <w:rFonts w:eastAsia="標楷體"/>
          <w:sz w:val="28"/>
          <w:szCs w:val="28"/>
        </w:rPr>
        <w:t>年有效。</w:t>
      </w:r>
      <w:bookmarkStart w:id="0" w:name="_GoBack"/>
      <w:bookmarkEnd w:id="0"/>
    </w:p>
    <w:sectPr w:rsidR="001D4DF4">
      <w:pgSz w:w="11906" w:h="16838"/>
      <w:pgMar w:top="1134" w:right="1466" w:bottom="1560" w:left="126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7C" w:rsidRDefault="009F6C7C">
      <w:pPr>
        <w:rPr>
          <w:rFonts w:hint="eastAsia"/>
        </w:rPr>
      </w:pPr>
      <w:r>
        <w:separator/>
      </w:r>
    </w:p>
  </w:endnote>
  <w:endnote w:type="continuationSeparator" w:id="0">
    <w:p w:rsidR="009F6C7C" w:rsidRDefault="009F6C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7C" w:rsidRDefault="009F6C7C">
      <w:pPr>
        <w:rPr>
          <w:rFonts w:hint="eastAsia"/>
        </w:rPr>
      </w:pPr>
      <w:r>
        <w:rPr>
          <w:color w:val="000000"/>
        </w:rPr>
        <w:separator/>
      </w:r>
    </w:p>
  </w:footnote>
  <w:footnote w:type="continuationSeparator" w:id="0">
    <w:p w:rsidR="009F6C7C" w:rsidRDefault="009F6C7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1035"/>
    <w:multiLevelType w:val="multilevel"/>
    <w:tmpl w:val="04FED05A"/>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4DF4"/>
    <w:rsid w:val="001D4DF4"/>
    <w:rsid w:val="00927D96"/>
    <w:rsid w:val="009F6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國立學校社會教育及學術研究機構教育人員退撫給與發放作業要點</dc:title>
  <dc:creator>MOEIT</dc:creator>
  <cp:lastModifiedBy>user</cp:lastModifiedBy>
  <cp:revision>1</cp:revision>
  <cp:lastPrinted>2017-03-09T11:14:00Z</cp:lastPrinted>
  <dcterms:created xsi:type="dcterms:W3CDTF">2017-02-11T15:28:00Z</dcterms:created>
  <dcterms:modified xsi:type="dcterms:W3CDTF">2017-03-15T01:43:00Z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1472901359</vt:i4>
  </property>
</Properties>
</file>