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EC" w:rsidRDefault="003474A8">
      <w:pPr>
        <w:pStyle w:val="Standard"/>
        <w:spacing w:line="460" w:lineRule="exact"/>
        <w:rPr>
          <w:rFonts w:eastAsia="標楷體"/>
          <w:sz w:val="40"/>
          <w:szCs w:val="40"/>
        </w:rPr>
      </w:pPr>
      <w:bookmarkStart w:id="0" w:name="_GoBack"/>
      <w:bookmarkEnd w:id="0"/>
      <w:r>
        <w:rPr>
          <w:rFonts w:eastAsia="標楷體"/>
          <w:sz w:val="40"/>
          <w:szCs w:val="40"/>
        </w:rPr>
        <w:t>教育部補助大專校院實施特殊優秀人才彈性薪資作業要點</w:t>
      </w:r>
    </w:p>
    <w:p w:rsidR="00FC7AEC" w:rsidRDefault="003474A8">
      <w:pPr>
        <w:pStyle w:val="a8"/>
        <w:numPr>
          <w:ilvl w:val="0"/>
          <w:numId w:val="27"/>
        </w:numPr>
        <w:spacing w:line="460" w:lineRule="exact"/>
        <w:ind w:left="567" w:hanging="567"/>
        <w:rPr>
          <w:rFonts w:eastAsia="標楷體"/>
          <w:color w:val="000000"/>
          <w:sz w:val="28"/>
          <w:szCs w:val="28"/>
        </w:rPr>
      </w:pPr>
      <w:r>
        <w:rPr>
          <w:rFonts w:eastAsia="標楷體"/>
          <w:color w:val="000000"/>
          <w:sz w:val="28"/>
          <w:szCs w:val="28"/>
        </w:rPr>
        <w:t>教育部（以下簡稱本部）為協助大專校院（以下簡稱學校）延攬與留任國內外教學研究、社會服務、高等教育經營管理及產業實務具卓著貢獻或發展潛力之特殊優秀人才，並引導學校投入資源及拉大校內彈性薪資級距，達到各校拔尖及留才之效益，特訂定本要點。</w:t>
      </w:r>
    </w:p>
    <w:p w:rsidR="00FC7AEC" w:rsidRDefault="003474A8">
      <w:pPr>
        <w:pStyle w:val="Standard"/>
        <w:numPr>
          <w:ilvl w:val="0"/>
          <w:numId w:val="23"/>
        </w:numPr>
        <w:spacing w:line="460" w:lineRule="exact"/>
        <w:ind w:left="567" w:hanging="567"/>
        <w:rPr>
          <w:rFonts w:ascii="Calibri" w:eastAsia="標楷體" w:hAnsi="Calibri"/>
          <w:sz w:val="28"/>
          <w:szCs w:val="28"/>
        </w:rPr>
      </w:pPr>
      <w:r>
        <w:rPr>
          <w:rFonts w:ascii="Calibri" w:eastAsia="標楷體" w:hAnsi="Calibri"/>
          <w:sz w:val="28"/>
          <w:szCs w:val="28"/>
        </w:rPr>
        <w:t>申請資格及適用對象：</w:t>
      </w:r>
    </w:p>
    <w:p w:rsidR="00FC7AEC" w:rsidRDefault="003474A8">
      <w:pPr>
        <w:pStyle w:val="Standard"/>
        <w:numPr>
          <w:ilvl w:val="1"/>
          <w:numId w:val="19"/>
        </w:numPr>
        <w:spacing w:line="460" w:lineRule="exact"/>
        <w:ind w:left="993" w:hanging="938"/>
        <w:rPr>
          <w:rFonts w:ascii="Calibri" w:eastAsia="標楷體" w:hAnsi="Calibri"/>
          <w:sz w:val="28"/>
          <w:szCs w:val="28"/>
        </w:rPr>
      </w:pPr>
      <w:r>
        <w:rPr>
          <w:rFonts w:ascii="Calibri" w:eastAsia="標楷體" w:hAnsi="Calibri"/>
          <w:sz w:val="28"/>
          <w:szCs w:val="28"/>
        </w:rPr>
        <w:t>申請資格：</w:t>
      </w:r>
    </w:p>
    <w:p w:rsidR="00FC7AEC" w:rsidRDefault="003474A8">
      <w:pPr>
        <w:pStyle w:val="Standard"/>
        <w:numPr>
          <w:ilvl w:val="0"/>
          <w:numId w:val="28"/>
        </w:numPr>
        <w:spacing w:line="460" w:lineRule="exact"/>
        <w:ind w:left="880" w:hanging="283"/>
      </w:pPr>
      <w:r>
        <w:rPr>
          <w:rFonts w:ascii="Calibri" w:eastAsia="標楷體" w:hAnsi="Calibri"/>
          <w:sz w:val="28"/>
          <w:szCs w:val="28"/>
        </w:rPr>
        <w:t>獲高等教育深耕計畫第一部分補助經費（落實教學創新、發展學校特色及提升高教公共性）新臺幣（下同）五千萬元以上，且高等教育深耕計畫彈性薪資支用額度達百分之四以上之學校。</w:t>
      </w:r>
    </w:p>
    <w:p w:rsidR="00FC7AEC" w:rsidRDefault="003474A8">
      <w:pPr>
        <w:pStyle w:val="Standard"/>
        <w:numPr>
          <w:ilvl w:val="0"/>
          <w:numId w:val="20"/>
        </w:numPr>
        <w:spacing w:line="460" w:lineRule="exact"/>
        <w:ind w:left="880" w:hanging="283"/>
        <w:rPr>
          <w:rFonts w:ascii="Calibri" w:eastAsia="標楷體" w:hAnsi="Calibri"/>
          <w:sz w:val="28"/>
          <w:szCs w:val="28"/>
        </w:rPr>
      </w:pPr>
      <w:r>
        <w:rPr>
          <w:rFonts w:ascii="Calibri" w:eastAsia="標楷體" w:hAnsi="Calibri"/>
          <w:sz w:val="28"/>
          <w:szCs w:val="28"/>
        </w:rPr>
        <w:t>獲高等教育深耕計畫第二部分補助經費（研究中心），且高等教育深耕計畫彈性薪資支用額度達百分之十以上之學校。</w:t>
      </w:r>
    </w:p>
    <w:p w:rsidR="00FC7AEC" w:rsidRDefault="003474A8">
      <w:pPr>
        <w:pStyle w:val="Standard"/>
        <w:numPr>
          <w:ilvl w:val="1"/>
          <w:numId w:val="19"/>
        </w:numPr>
        <w:spacing w:line="460" w:lineRule="exact"/>
        <w:ind w:left="993" w:hanging="938"/>
        <w:rPr>
          <w:rFonts w:ascii="Calibri" w:eastAsia="標楷體" w:hAnsi="Calibri"/>
          <w:sz w:val="28"/>
          <w:szCs w:val="28"/>
        </w:rPr>
      </w:pPr>
      <w:r>
        <w:rPr>
          <w:rFonts w:ascii="Calibri" w:eastAsia="標楷體" w:hAnsi="Calibri"/>
          <w:sz w:val="28"/>
          <w:szCs w:val="28"/>
        </w:rPr>
        <w:t>適用對象：未獲本部玉山（青年）學者補助，並經學校彈性薪資支給規定所定之審議程序，認定符合下列條件之一之學校編制內外專任教學或研究人員（以下簡稱教學或研究人員）：</w:t>
      </w:r>
    </w:p>
    <w:p w:rsidR="00FC7AEC" w:rsidRDefault="003474A8">
      <w:pPr>
        <w:pStyle w:val="Standard"/>
        <w:numPr>
          <w:ilvl w:val="0"/>
          <w:numId w:val="29"/>
        </w:numPr>
        <w:spacing w:line="460" w:lineRule="exact"/>
        <w:ind w:left="880" w:hanging="284"/>
      </w:pPr>
      <w:r>
        <w:rPr>
          <w:rFonts w:eastAsia="標楷體"/>
          <w:color w:val="000000"/>
          <w:sz w:val="28"/>
          <w:szCs w:val="28"/>
        </w:rPr>
        <w:t>曾獲國際或國內學術殊榮：諾貝爾獎、中央研究院院士、其他國家級院士或重要會士。</w:t>
      </w:r>
    </w:p>
    <w:p w:rsidR="00FC7AEC" w:rsidRDefault="003474A8">
      <w:pPr>
        <w:pStyle w:val="Standard"/>
        <w:numPr>
          <w:ilvl w:val="0"/>
          <w:numId w:val="21"/>
        </w:numPr>
        <w:spacing w:line="460" w:lineRule="exact"/>
        <w:ind w:left="880" w:hanging="284"/>
        <w:rPr>
          <w:rFonts w:eastAsia="標楷體"/>
          <w:color w:val="000000"/>
          <w:sz w:val="28"/>
          <w:szCs w:val="28"/>
        </w:rPr>
      </w:pPr>
      <w:r>
        <w:rPr>
          <w:rFonts w:eastAsia="標楷體"/>
          <w:color w:val="000000"/>
          <w:sz w:val="28"/>
          <w:szCs w:val="28"/>
        </w:rPr>
        <w:t>曾獲總統科學獎、總統創新獎、總統文化獎、國家講座、學術獎、國家產學大師獎、師鐸獎、行政院傑出科技貢獻獎、傑出特約研究員獎、傑出研究獎、傑出技術移轉貢獻獎、吳大猷先生紀念獎、國家產業創新獎或中央研究院年輕學者研究著作獎。</w:t>
      </w:r>
    </w:p>
    <w:p w:rsidR="00FC7AEC" w:rsidRDefault="003474A8">
      <w:pPr>
        <w:pStyle w:val="Standard"/>
        <w:numPr>
          <w:ilvl w:val="0"/>
          <w:numId w:val="21"/>
        </w:numPr>
        <w:spacing w:line="460" w:lineRule="exact"/>
        <w:ind w:left="880" w:hanging="284"/>
        <w:rPr>
          <w:rFonts w:eastAsia="標楷體"/>
          <w:color w:val="000000"/>
          <w:sz w:val="28"/>
          <w:szCs w:val="28"/>
        </w:rPr>
      </w:pPr>
      <w:r>
        <w:rPr>
          <w:rFonts w:eastAsia="標楷體"/>
          <w:color w:val="000000"/>
          <w:sz w:val="28"/>
          <w:szCs w:val="28"/>
        </w:rPr>
        <w:t>近五個（學）年度內有四個（學）年度，或新聘人員（於國內學校第一次聘任）於三個（學）年度內曾任下列政府部門研究計畫之計畫主持人：科技部專題研究計畫、科技部前瞻技術產學合作計畫、科技部產學技術聯盟合作計畫、科技部學術攻頂研究計畫、科技部年輕學者養成計畫、教育部教學實踐研究計畫、國家衛生研究院整合</w:t>
      </w:r>
      <w:r>
        <w:rPr>
          <w:rFonts w:eastAsia="標楷體"/>
          <w:color w:val="000000"/>
          <w:sz w:val="28"/>
          <w:szCs w:val="28"/>
        </w:rPr>
        <w:t>性醫藥衛生科技研究計畫或行政院農業委員會農業科</w:t>
      </w:r>
      <w:r>
        <w:rPr>
          <w:rFonts w:eastAsia="標楷體"/>
          <w:color w:val="000000"/>
          <w:sz w:val="28"/>
          <w:szCs w:val="28"/>
        </w:rPr>
        <w:lastRenderedPageBreak/>
        <w:t>技專案計畫。</w:t>
      </w:r>
    </w:p>
    <w:p w:rsidR="00FC7AEC" w:rsidRDefault="003474A8">
      <w:pPr>
        <w:pStyle w:val="Standard"/>
        <w:numPr>
          <w:ilvl w:val="0"/>
          <w:numId w:val="21"/>
        </w:numPr>
        <w:spacing w:line="460" w:lineRule="exact"/>
        <w:ind w:left="880" w:hanging="284"/>
        <w:rPr>
          <w:rFonts w:eastAsia="標楷體"/>
          <w:color w:val="000000"/>
          <w:sz w:val="28"/>
          <w:szCs w:val="28"/>
        </w:rPr>
      </w:pPr>
      <w:r>
        <w:rPr>
          <w:rFonts w:eastAsia="標楷體"/>
          <w:color w:val="000000"/>
          <w:sz w:val="28"/>
          <w:szCs w:val="28"/>
        </w:rPr>
        <w:t>近五年內曾獲校內具有審查或評選機制之重要榮譽獎項，例如教學傑出獎或產學研究獎。</w:t>
      </w:r>
    </w:p>
    <w:p w:rsidR="00FC7AEC" w:rsidRDefault="003474A8">
      <w:pPr>
        <w:pStyle w:val="Standard"/>
        <w:numPr>
          <w:ilvl w:val="0"/>
          <w:numId w:val="30"/>
        </w:numPr>
        <w:spacing w:line="460" w:lineRule="exact"/>
        <w:ind w:left="567" w:hanging="567"/>
        <w:rPr>
          <w:rFonts w:ascii="Calibri" w:eastAsia="標楷體" w:hAnsi="Calibri"/>
          <w:sz w:val="28"/>
          <w:szCs w:val="28"/>
        </w:rPr>
      </w:pPr>
      <w:r>
        <w:rPr>
          <w:rFonts w:ascii="Calibri" w:eastAsia="標楷體" w:hAnsi="Calibri"/>
          <w:sz w:val="28"/>
          <w:szCs w:val="28"/>
        </w:rPr>
        <w:t>經費補助原則：</w:t>
      </w:r>
    </w:p>
    <w:p w:rsidR="00FC7AEC" w:rsidRDefault="003474A8">
      <w:pPr>
        <w:pStyle w:val="Standard"/>
        <w:numPr>
          <w:ilvl w:val="0"/>
          <w:numId w:val="31"/>
        </w:numPr>
        <w:spacing w:line="460" w:lineRule="exact"/>
        <w:rPr>
          <w:rFonts w:ascii="Calibri" w:eastAsia="標楷體" w:hAnsi="Calibri"/>
          <w:sz w:val="28"/>
          <w:szCs w:val="28"/>
        </w:rPr>
      </w:pPr>
      <w:r>
        <w:rPr>
          <w:rFonts w:ascii="Calibri" w:eastAsia="標楷體" w:hAnsi="Calibri"/>
          <w:sz w:val="28"/>
          <w:szCs w:val="28"/>
        </w:rPr>
        <w:t>補助額度：</w:t>
      </w:r>
    </w:p>
    <w:p w:rsidR="00FC7AEC" w:rsidRDefault="003474A8">
      <w:pPr>
        <w:pStyle w:val="Standard"/>
        <w:numPr>
          <w:ilvl w:val="0"/>
          <w:numId w:val="32"/>
        </w:numPr>
        <w:spacing w:line="460" w:lineRule="exact"/>
        <w:ind w:left="1021" w:hanging="425"/>
        <w:rPr>
          <w:rFonts w:ascii="Calibri" w:eastAsia="標楷體" w:hAnsi="Calibri"/>
          <w:sz w:val="28"/>
          <w:szCs w:val="28"/>
        </w:rPr>
      </w:pPr>
      <w:r>
        <w:rPr>
          <w:rFonts w:ascii="Calibri" w:eastAsia="標楷體" w:hAnsi="Calibri"/>
          <w:sz w:val="28"/>
          <w:szCs w:val="28"/>
        </w:rPr>
        <w:t>依學校訂定之彈性薪資支給規定，核給每位教學或研究人員一年三十六萬元以上彈性薪資，本部就超過三十六萬元部分補助百分之五十經費。</w:t>
      </w:r>
    </w:p>
    <w:p w:rsidR="00FC7AEC" w:rsidRDefault="003474A8">
      <w:pPr>
        <w:pStyle w:val="Standard"/>
        <w:numPr>
          <w:ilvl w:val="0"/>
          <w:numId w:val="22"/>
        </w:numPr>
        <w:spacing w:line="460" w:lineRule="exact"/>
        <w:ind w:left="1021" w:hanging="425"/>
        <w:rPr>
          <w:rFonts w:ascii="Calibri" w:eastAsia="標楷體" w:hAnsi="Calibri"/>
          <w:sz w:val="28"/>
          <w:szCs w:val="28"/>
        </w:rPr>
      </w:pPr>
      <w:r>
        <w:rPr>
          <w:rFonts w:ascii="Calibri" w:eastAsia="標楷體" w:hAnsi="Calibri"/>
          <w:sz w:val="28"/>
          <w:szCs w:val="28"/>
        </w:rPr>
        <w:t>彈性薪資額度計算包括本部補助經費及學校自籌經費，不包括科技部經費；補助對象為編制外專案教師者，彈性薪資額度計算應先扣除公立學校標準之本薪及學術研究費。</w:t>
      </w:r>
    </w:p>
    <w:p w:rsidR="00FC7AEC" w:rsidRDefault="003474A8">
      <w:pPr>
        <w:pStyle w:val="Standard"/>
        <w:numPr>
          <w:ilvl w:val="0"/>
          <w:numId w:val="33"/>
        </w:numPr>
        <w:spacing w:line="460" w:lineRule="exact"/>
        <w:ind w:left="993" w:hanging="938"/>
        <w:rPr>
          <w:rFonts w:ascii="Calibri" w:eastAsia="標楷體" w:hAnsi="Calibri"/>
          <w:sz w:val="28"/>
          <w:szCs w:val="28"/>
        </w:rPr>
      </w:pPr>
      <w:r>
        <w:rPr>
          <w:rFonts w:ascii="Calibri" w:eastAsia="標楷體" w:hAnsi="Calibri"/>
          <w:sz w:val="28"/>
          <w:szCs w:val="28"/>
        </w:rPr>
        <w:t>每位教學或研究人員補助上限：每人每年最高彈性薪資額度上限為五百萬元</w:t>
      </w:r>
      <w:r>
        <w:rPr>
          <w:rFonts w:ascii="Calibri" w:eastAsia="標楷體" w:hAnsi="Calibri"/>
          <w:sz w:val="28"/>
          <w:szCs w:val="28"/>
        </w:rPr>
        <w:t>（比照玉山學者），超過部分全數由學校自籌。</w:t>
      </w:r>
    </w:p>
    <w:p w:rsidR="00FC7AEC" w:rsidRDefault="003474A8">
      <w:pPr>
        <w:pStyle w:val="Standard"/>
        <w:numPr>
          <w:ilvl w:val="0"/>
          <w:numId w:val="25"/>
        </w:numPr>
        <w:spacing w:line="460" w:lineRule="exact"/>
        <w:ind w:left="993" w:hanging="938"/>
        <w:rPr>
          <w:rFonts w:ascii="Calibri" w:eastAsia="標楷體" w:hAnsi="Calibri"/>
          <w:sz w:val="28"/>
          <w:szCs w:val="28"/>
        </w:rPr>
      </w:pPr>
      <w:r>
        <w:rPr>
          <w:rFonts w:ascii="Calibri" w:eastAsia="標楷體" w:hAnsi="Calibri"/>
          <w:sz w:val="28"/>
          <w:szCs w:val="28"/>
        </w:rPr>
        <w:t>本部補助經費上限：以本部年度預算編列經費額度為上限，學校申請補助經費總額超過本部年度預算編列經費額度時，本部將視財務狀況依本部年度預算編列經費額度與學校申請補助經費總額之比率折減各校補助經費。</w:t>
      </w:r>
    </w:p>
    <w:p w:rsidR="00FC7AEC" w:rsidRDefault="003474A8">
      <w:pPr>
        <w:pStyle w:val="Standard"/>
        <w:numPr>
          <w:ilvl w:val="0"/>
          <w:numId w:val="25"/>
        </w:numPr>
        <w:spacing w:line="460" w:lineRule="exact"/>
        <w:ind w:left="993" w:hanging="938"/>
        <w:rPr>
          <w:rFonts w:ascii="Calibri" w:eastAsia="標楷體" w:hAnsi="Calibri"/>
          <w:sz w:val="28"/>
          <w:szCs w:val="28"/>
        </w:rPr>
      </w:pPr>
      <w:r>
        <w:rPr>
          <w:rFonts w:ascii="Calibri" w:eastAsia="標楷體" w:hAnsi="Calibri"/>
          <w:sz w:val="28"/>
          <w:szCs w:val="28"/>
        </w:rPr>
        <w:t>本經費補助，學校應專款支用於教學或研究人員，不得移作其他用途。</w:t>
      </w:r>
    </w:p>
    <w:p w:rsidR="00FC7AEC" w:rsidRDefault="003474A8">
      <w:pPr>
        <w:pStyle w:val="Standard"/>
        <w:numPr>
          <w:ilvl w:val="0"/>
          <w:numId w:val="25"/>
        </w:numPr>
        <w:spacing w:line="460" w:lineRule="exact"/>
        <w:ind w:left="993" w:hanging="938"/>
        <w:rPr>
          <w:rFonts w:ascii="Calibri" w:eastAsia="標楷體" w:hAnsi="Calibri"/>
          <w:sz w:val="28"/>
          <w:szCs w:val="28"/>
        </w:rPr>
      </w:pPr>
      <w:r>
        <w:rPr>
          <w:rFonts w:ascii="Calibri" w:eastAsia="標楷體" w:hAnsi="Calibri"/>
          <w:sz w:val="28"/>
          <w:szCs w:val="28"/>
        </w:rPr>
        <w:t>學校提報教學或研究人員係依相關規定進行借調者，應由原任職學校或借調學校擇一申請，不得同一期間重複領取本經費補助。</w:t>
      </w:r>
    </w:p>
    <w:p w:rsidR="00FC7AEC" w:rsidRDefault="003474A8">
      <w:pPr>
        <w:pStyle w:val="a8"/>
        <w:numPr>
          <w:ilvl w:val="0"/>
          <w:numId w:val="34"/>
        </w:numPr>
        <w:spacing w:line="460" w:lineRule="exact"/>
        <w:ind w:left="567" w:hanging="567"/>
        <w:rPr>
          <w:rFonts w:ascii="Calibri" w:eastAsia="標楷體" w:hAnsi="Calibri"/>
          <w:sz w:val="28"/>
          <w:szCs w:val="28"/>
        </w:rPr>
      </w:pPr>
      <w:r>
        <w:rPr>
          <w:rFonts w:ascii="Calibri" w:eastAsia="標楷體" w:hAnsi="Calibri"/>
          <w:sz w:val="28"/>
          <w:szCs w:val="28"/>
        </w:rPr>
        <w:t>補助期間：自當年度八月一日起至次年七月三十一日止。</w:t>
      </w:r>
    </w:p>
    <w:p w:rsidR="00FC7AEC" w:rsidRDefault="003474A8">
      <w:pPr>
        <w:pStyle w:val="a8"/>
        <w:numPr>
          <w:ilvl w:val="0"/>
          <w:numId w:val="23"/>
        </w:numPr>
        <w:spacing w:line="460" w:lineRule="exact"/>
        <w:ind w:left="567" w:hanging="567"/>
        <w:rPr>
          <w:rFonts w:eastAsia="標楷體"/>
          <w:sz w:val="28"/>
          <w:szCs w:val="28"/>
        </w:rPr>
      </w:pPr>
      <w:r>
        <w:rPr>
          <w:rFonts w:eastAsia="標楷體"/>
          <w:sz w:val="28"/>
          <w:szCs w:val="28"/>
        </w:rPr>
        <w:t>申請方式：</w:t>
      </w:r>
    </w:p>
    <w:p w:rsidR="00FC7AEC" w:rsidRDefault="003474A8">
      <w:pPr>
        <w:pStyle w:val="a8"/>
        <w:numPr>
          <w:ilvl w:val="0"/>
          <w:numId w:val="35"/>
        </w:numPr>
        <w:spacing w:line="460" w:lineRule="exact"/>
        <w:ind w:left="738" w:hanging="738"/>
        <w:rPr>
          <w:rFonts w:eastAsia="標楷體"/>
          <w:sz w:val="28"/>
          <w:szCs w:val="28"/>
        </w:rPr>
      </w:pPr>
      <w:r>
        <w:rPr>
          <w:rFonts w:eastAsia="標楷體"/>
          <w:sz w:val="28"/>
          <w:szCs w:val="28"/>
        </w:rPr>
        <w:t>申請時間：依本部公告之申請期限提出申請。</w:t>
      </w:r>
    </w:p>
    <w:p w:rsidR="00FC7AEC" w:rsidRDefault="003474A8">
      <w:pPr>
        <w:pStyle w:val="a8"/>
        <w:numPr>
          <w:ilvl w:val="0"/>
          <w:numId w:val="6"/>
        </w:numPr>
        <w:spacing w:line="460" w:lineRule="exact"/>
        <w:ind w:left="738" w:hanging="738"/>
        <w:rPr>
          <w:rFonts w:eastAsia="標楷體"/>
          <w:sz w:val="28"/>
          <w:szCs w:val="28"/>
        </w:rPr>
      </w:pPr>
      <w:r>
        <w:rPr>
          <w:rFonts w:eastAsia="標楷體"/>
          <w:sz w:val="28"/>
          <w:szCs w:val="28"/>
        </w:rPr>
        <w:t>申請文件內容：</w:t>
      </w:r>
    </w:p>
    <w:p w:rsidR="00FC7AEC" w:rsidRDefault="003474A8">
      <w:pPr>
        <w:pStyle w:val="a8"/>
        <w:numPr>
          <w:ilvl w:val="0"/>
          <w:numId w:val="36"/>
        </w:numPr>
        <w:spacing w:line="460" w:lineRule="exact"/>
        <w:ind w:left="880" w:hanging="284"/>
        <w:rPr>
          <w:rFonts w:eastAsia="標楷體"/>
          <w:sz w:val="28"/>
          <w:szCs w:val="28"/>
        </w:rPr>
      </w:pPr>
      <w:r>
        <w:rPr>
          <w:rFonts w:eastAsia="標楷體"/>
          <w:sz w:val="28"/>
          <w:szCs w:val="28"/>
        </w:rPr>
        <w:t>申請清冊一份。</w:t>
      </w:r>
    </w:p>
    <w:p w:rsidR="00FC7AEC" w:rsidRDefault="003474A8">
      <w:pPr>
        <w:pStyle w:val="a8"/>
        <w:numPr>
          <w:ilvl w:val="0"/>
          <w:numId w:val="9"/>
        </w:numPr>
        <w:spacing w:line="460" w:lineRule="exact"/>
        <w:ind w:left="880" w:hanging="284"/>
        <w:rPr>
          <w:rFonts w:eastAsia="標楷體"/>
          <w:sz w:val="28"/>
          <w:szCs w:val="28"/>
        </w:rPr>
      </w:pPr>
      <w:r>
        <w:rPr>
          <w:rFonts w:eastAsia="標楷體"/>
          <w:sz w:val="28"/>
          <w:szCs w:val="28"/>
        </w:rPr>
        <w:t>學校以近五年內曾獲校內具有審查或評選機制之重要榮譽獎項申</w:t>
      </w:r>
      <w:r>
        <w:rPr>
          <w:rFonts w:eastAsia="標楷體"/>
          <w:sz w:val="28"/>
          <w:szCs w:val="28"/>
        </w:rPr>
        <w:lastRenderedPageBreak/>
        <w:t>請者，應一併檢附該獎項辦法及審核會議紀錄等資料，並敘明申請人數及獲獎人數。</w:t>
      </w:r>
    </w:p>
    <w:p w:rsidR="00FC7AEC" w:rsidRDefault="003474A8">
      <w:pPr>
        <w:pStyle w:val="Standard"/>
        <w:numPr>
          <w:ilvl w:val="0"/>
          <w:numId w:val="37"/>
        </w:numPr>
        <w:spacing w:line="460" w:lineRule="exact"/>
        <w:ind w:left="567" w:hanging="567"/>
        <w:rPr>
          <w:rFonts w:ascii="Calibri" w:eastAsia="標楷體" w:hAnsi="Calibri"/>
          <w:sz w:val="28"/>
          <w:szCs w:val="28"/>
        </w:rPr>
      </w:pPr>
      <w:r>
        <w:rPr>
          <w:rFonts w:ascii="Calibri" w:eastAsia="標楷體" w:hAnsi="Calibri"/>
          <w:sz w:val="28"/>
          <w:szCs w:val="28"/>
        </w:rPr>
        <w:t>經費結報：</w:t>
      </w:r>
    </w:p>
    <w:p w:rsidR="00FC7AEC" w:rsidRDefault="003474A8">
      <w:pPr>
        <w:pStyle w:val="Standard"/>
        <w:numPr>
          <w:ilvl w:val="0"/>
          <w:numId w:val="38"/>
        </w:numPr>
        <w:spacing w:line="460" w:lineRule="exact"/>
        <w:ind w:left="993" w:hanging="938"/>
        <w:rPr>
          <w:rFonts w:ascii="Calibri" w:eastAsia="標楷體" w:hAnsi="Calibri"/>
          <w:sz w:val="28"/>
          <w:szCs w:val="28"/>
        </w:rPr>
      </w:pPr>
      <w:r>
        <w:rPr>
          <w:rFonts w:ascii="Calibri" w:eastAsia="標楷體" w:hAnsi="Calibri"/>
          <w:sz w:val="28"/>
          <w:szCs w:val="28"/>
        </w:rPr>
        <w:t>學校應於補助期間結束後二個月內，將補助經費收支結算表、經費執行情形報告表及績效報告表辦理結案函報本部；有賸餘款者，應繳回本部。</w:t>
      </w:r>
    </w:p>
    <w:p w:rsidR="00FC7AEC" w:rsidRDefault="003474A8">
      <w:pPr>
        <w:pStyle w:val="Standard"/>
        <w:numPr>
          <w:ilvl w:val="0"/>
          <w:numId w:val="26"/>
        </w:numPr>
        <w:spacing w:line="460" w:lineRule="exact"/>
        <w:ind w:left="993" w:hanging="938"/>
        <w:rPr>
          <w:rFonts w:ascii="Calibri" w:eastAsia="標楷體" w:hAnsi="Calibri"/>
          <w:sz w:val="28"/>
          <w:szCs w:val="28"/>
        </w:rPr>
      </w:pPr>
      <w:r>
        <w:rPr>
          <w:rFonts w:ascii="Calibri" w:eastAsia="標楷體" w:hAnsi="Calibri"/>
          <w:sz w:val="28"/>
          <w:szCs w:val="28"/>
        </w:rPr>
        <w:t>補助期間內教學或研究人員有留職停薪、離職或不予聘任情形者，學校應將其補助扣除依其在職期間計算之比率後繳回本部。</w:t>
      </w:r>
    </w:p>
    <w:p w:rsidR="00FC7AEC" w:rsidRDefault="003474A8">
      <w:pPr>
        <w:pStyle w:val="Standard"/>
        <w:numPr>
          <w:ilvl w:val="0"/>
          <w:numId w:val="26"/>
        </w:numPr>
        <w:spacing w:line="460" w:lineRule="exact"/>
        <w:ind w:left="993" w:hanging="938"/>
        <w:rPr>
          <w:rFonts w:ascii="Calibri" w:eastAsia="標楷體" w:hAnsi="Calibri"/>
          <w:sz w:val="28"/>
          <w:szCs w:val="28"/>
        </w:rPr>
      </w:pPr>
      <w:r>
        <w:rPr>
          <w:rFonts w:ascii="Calibri" w:eastAsia="標楷體" w:hAnsi="Calibri"/>
          <w:sz w:val="28"/>
          <w:szCs w:val="28"/>
        </w:rPr>
        <w:t>高等教育深耕計畫彈性薪資支用額度比率，未符第二點第一款</w:t>
      </w:r>
      <w:r>
        <w:rPr>
          <w:rFonts w:ascii="Calibri" w:eastAsia="標楷體" w:hAnsi="Calibri"/>
          <w:sz w:val="28"/>
          <w:szCs w:val="28"/>
        </w:rPr>
        <w:t>申請資格之學校，應繳回全數補助經費。</w:t>
      </w:r>
    </w:p>
    <w:sectPr w:rsidR="00FC7AEC">
      <w:footerReference w:type="default" r:id="rId8"/>
      <w:pgSz w:w="11906" w:h="16838"/>
      <w:pgMar w:top="1418" w:right="1418" w:bottom="2268" w:left="1701" w:header="720" w:footer="141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4A8" w:rsidRDefault="003474A8">
      <w:r>
        <w:separator/>
      </w:r>
    </w:p>
  </w:endnote>
  <w:endnote w:type="continuationSeparator" w:id="0">
    <w:p w:rsidR="003474A8" w:rsidRDefault="0034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96" w:rsidRDefault="003474A8">
    <w:pPr>
      <w:pStyle w:val="a6"/>
      <w:jc w:val="center"/>
    </w:pPr>
    <w:r>
      <w:fldChar w:fldCharType="begin"/>
    </w:r>
    <w:r>
      <w:instrText xml:space="preserve"> PAGE </w:instrText>
    </w:r>
    <w:r>
      <w:fldChar w:fldCharType="separate"/>
    </w:r>
    <w:r w:rsidR="00014970">
      <w:rPr>
        <w:noProof/>
      </w:rPr>
      <w:t>2</w:t>
    </w:r>
    <w:r>
      <w:fldChar w:fldCharType="end"/>
    </w:r>
  </w:p>
  <w:p w:rsidR="00706F96" w:rsidRDefault="003474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4A8" w:rsidRDefault="003474A8">
      <w:r>
        <w:rPr>
          <w:color w:val="000000"/>
        </w:rPr>
        <w:separator/>
      </w:r>
    </w:p>
  </w:footnote>
  <w:footnote w:type="continuationSeparator" w:id="0">
    <w:p w:rsidR="003474A8" w:rsidRDefault="00347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49E"/>
    <w:multiLevelType w:val="multilevel"/>
    <w:tmpl w:val="0B5E888A"/>
    <w:styleLink w:val="WWNum21"/>
    <w:lvl w:ilvl="0">
      <w:start w:val="1"/>
      <w:numFmt w:val="decimal"/>
      <w:lvlText w:val="%1."/>
      <w:lvlJc w:val="left"/>
      <w:rPr>
        <w:rFonts w:ascii="Calibri" w:eastAsia="標楷體" w:hAnsi="Calibri"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57449CA"/>
    <w:multiLevelType w:val="multilevel"/>
    <w:tmpl w:val="01F456C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702629C"/>
    <w:multiLevelType w:val="multilevel"/>
    <w:tmpl w:val="66D803AC"/>
    <w:styleLink w:val="WWNum5"/>
    <w:lvl w:ilvl="0">
      <w:start w:val="1"/>
      <w:numFmt w:val="japaneseCounting"/>
      <w:lvlText w:val="（%1）"/>
      <w:lvlJc w:val="left"/>
      <w:rPr>
        <w:rFonts w:eastAsia="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95F7811"/>
    <w:multiLevelType w:val="multilevel"/>
    <w:tmpl w:val="CA0CCC7C"/>
    <w:styleLink w:val="WWNum18"/>
    <w:lvl w:ilvl="0">
      <w:start w:val="1"/>
      <w:numFmt w:val="japaneseCounting"/>
      <w:lvlText w:val="%1、"/>
      <w:lvlJc w:val="left"/>
      <w:rPr>
        <w:sz w:val="24"/>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4340AC7"/>
    <w:multiLevelType w:val="multilevel"/>
    <w:tmpl w:val="68528E34"/>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DB3595B"/>
    <w:multiLevelType w:val="multilevel"/>
    <w:tmpl w:val="94CE1E96"/>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38A7AA8"/>
    <w:multiLevelType w:val="multilevel"/>
    <w:tmpl w:val="8CAABBCC"/>
    <w:styleLink w:val="WWNum19"/>
    <w:lvl w:ilvl="0">
      <w:start w:val="1"/>
      <w:numFmt w:val="decimal"/>
      <w:lvlText w:val="%1."/>
      <w:lvlJc w:val="left"/>
      <w:rPr>
        <w:rFonts w:ascii="Calibri" w:eastAsia="標楷體" w:hAnsi="Calibri"/>
        <w:sz w:val="28"/>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68248FD"/>
    <w:multiLevelType w:val="multilevel"/>
    <w:tmpl w:val="9936361A"/>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71319D9"/>
    <w:multiLevelType w:val="multilevel"/>
    <w:tmpl w:val="C1F424E8"/>
    <w:styleLink w:val="WW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8A2689D"/>
    <w:multiLevelType w:val="multilevel"/>
    <w:tmpl w:val="265E2D5E"/>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C332F7B"/>
    <w:multiLevelType w:val="multilevel"/>
    <w:tmpl w:val="9ECED7C6"/>
    <w:styleLink w:val="WW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22F3F6D"/>
    <w:multiLevelType w:val="multilevel"/>
    <w:tmpl w:val="DA22D270"/>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40E21E3"/>
    <w:multiLevelType w:val="multilevel"/>
    <w:tmpl w:val="57D63D60"/>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7C8115F"/>
    <w:multiLevelType w:val="multilevel"/>
    <w:tmpl w:val="33F8332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4B6C4521"/>
    <w:multiLevelType w:val="multilevel"/>
    <w:tmpl w:val="AD261312"/>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7DE3269"/>
    <w:multiLevelType w:val="multilevel"/>
    <w:tmpl w:val="48AA124C"/>
    <w:styleLink w:val="WW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E1E5CEE"/>
    <w:multiLevelType w:val="multilevel"/>
    <w:tmpl w:val="E5300D90"/>
    <w:styleLink w:val="WWNum1"/>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FB205ED"/>
    <w:multiLevelType w:val="multilevel"/>
    <w:tmpl w:val="F672F480"/>
    <w:styleLink w:val="WWNum15"/>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604A43ED"/>
    <w:multiLevelType w:val="multilevel"/>
    <w:tmpl w:val="29620A0A"/>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60794291"/>
    <w:multiLevelType w:val="multilevel"/>
    <w:tmpl w:val="0A70EE5C"/>
    <w:styleLink w:val="WWNum14"/>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70041304"/>
    <w:multiLevelType w:val="multilevel"/>
    <w:tmpl w:val="4D32F532"/>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734608F6"/>
    <w:multiLevelType w:val="multilevel"/>
    <w:tmpl w:val="EFD2D4BE"/>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73AE39C9"/>
    <w:multiLevelType w:val="multilevel"/>
    <w:tmpl w:val="2D64E538"/>
    <w:styleLink w:val="WW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77956CAD"/>
    <w:multiLevelType w:val="multilevel"/>
    <w:tmpl w:val="DD583128"/>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779D138E"/>
    <w:multiLevelType w:val="multilevel"/>
    <w:tmpl w:val="EB3054FA"/>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7B9C761E"/>
    <w:multiLevelType w:val="multilevel"/>
    <w:tmpl w:val="5106E89A"/>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3"/>
  </w:num>
  <w:num w:numId="2">
    <w:abstractNumId w:val="16"/>
  </w:num>
  <w:num w:numId="3">
    <w:abstractNumId w:val="18"/>
  </w:num>
  <w:num w:numId="4">
    <w:abstractNumId w:val="12"/>
  </w:num>
  <w:num w:numId="5">
    <w:abstractNumId w:val="21"/>
  </w:num>
  <w:num w:numId="6">
    <w:abstractNumId w:val="2"/>
  </w:num>
  <w:num w:numId="7">
    <w:abstractNumId w:val="5"/>
  </w:num>
  <w:num w:numId="8">
    <w:abstractNumId w:val="20"/>
  </w:num>
  <w:num w:numId="9">
    <w:abstractNumId w:val="4"/>
  </w:num>
  <w:num w:numId="10">
    <w:abstractNumId w:val="24"/>
  </w:num>
  <w:num w:numId="11">
    <w:abstractNumId w:val="7"/>
  </w:num>
  <w:num w:numId="12">
    <w:abstractNumId w:val="23"/>
  </w:num>
  <w:num w:numId="13">
    <w:abstractNumId w:val="1"/>
  </w:num>
  <w:num w:numId="14">
    <w:abstractNumId w:val="9"/>
  </w:num>
  <w:num w:numId="15">
    <w:abstractNumId w:val="19"/>
  </w:num>
  <w:num w:numId="16">
    <w:abstractNumId w:val="17"/>
  </w:num>
  <w:num w:numId="17">
    <w:abstractNumId w:val="14"/>
  </w:num>
  <w:num w:numId="18">
    <w:abstractNumId w:val="22"/>
  </w:num>
  <w:num w:numId="19">
    <w:abstractNumId w:val="3"/>
  </w:num>
  <w:num w:numId="20">
    <w:abstractNumId w:val="6"/>
  </w:num>
  <w:num w:numId="21">
    <w:abstractNumId w:val="25"/>
  </w:num>
  <w:num w:numId="22">
    <w:abstractNumId w:val="0"/>
  </w:num>
  <w:num w:numId="23">
    <w:abstractNumId w:val="10"/>
  </w:num>
  <w:num w:numId="24">
    <w:abstractNumId w:val="11"/>
  </w:num>
  <w:num w:numId="25">
    <w:abstractNumId w:val="15"/>
  </w:num>
  <w:num w:numId="26">
    <w:abstractNumId w:val="8"/>
  </w:num>
  <w:num w:numId="27">
    <w:abstractNumId w:val="10"/>
    <w:lvlOverride w:ilvl="0">
      <w:startOverride w:val="1"/>
    </w:lvlOverride>
  </w:num>
  <w:num w:numId="28">
    <w:abstractNumId w:val="6"/>
    <w:lvlOverride w:ilvl="0">
      <w:startOverride w:val="1"/>
    </w:lvlOverride>
  </w:num>
  <w:num w:numId="29">
    <w:abstractNumId w:val="25"/>
    <w:lvlOverride w:ilvl="0">
      <w:startOverride w:val="1"/>
    </w:lvlOverride>
  </w:num>
  <w:num w:numId="30">
    <w:abstractNumId w:val="10"/>
    <w:lvlOverride w:ilvl="0">
      <w:startOverride w:val="1"/>
    </w:lvlOverride>
  </w:num>
  <w:num w:numId="31">
    <w:abstractNumId w:val="15"/>
    <w:lvlOverride w:ilvl="0">
      <w:startOverride w:val="1"/>
    </w:lvlOverride>
  </w:num>
  <w:num w:numId="32">
    <w:abstractNumId w:val="0"/>
    <w:lvlOverride w:ilvl="0">
      <w:startOverride w:val="1"/>
    </w:lvlOverride>
  </w:num>
  <w:num w:numId="33">
    <w:abstractNumId w:val="15"/>
    <w:lvlOverride w:ilvl="0">
      <w:startOverride w:val="1"/>
    </w:lvlOverride>
  </w:num>
  <w:num w:numId="34">
    <w:abstractNumId w:val="10"/>
    <w:lvlOverride w:ilvl="0">
      <w:startOverride w:val="1"/>
    </w:lvlOverride>
  </w:num>
  <w:num w:numId="35">
    <w:abstractNumId w:val="2"/>
    <w:lvlOverride w:ilvl="0">
      <w:startOverride w:val="1"/>
    </w:lvlOverride>
  </w:num>
  <w:num w:numId="36">
    <w:abstractNumId w:val="4"/>
    <w:lvlOverride w:ilvl="0">
      <w:startOverride w:val="1"/>
    </w:lvlOverride>
  </w:num>
  <w:num w:numId="37">
    <w:abstractNumId w:val="10"/>
    <w:lvlOverride w:ilvl="0">
      <w:startOverride w:val="1"/>
    </w:lvlOverride>
  </w:num>
  <w:num w:numId="3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C7AEC"/>
    <w:rsid w:val="00014970"/>
    <w:rsid w:val="003474A8"/>
    <w:rsid w:val="00FC7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cs="Tahoma"/>
      <w:sz w:val="18"/>
      <w:szCs w:val="18"/>
    </w:rPr>
  </w:style>
  <w:style w:type="paragraph" w:styleId="a8">
    <w:name w:val="List Paragraph"/>
    <w:basedOn w:val="Standard"/>
    <w:pPr>
      <w:ind w:left="480"/>
    </w:p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mbria" w:eastAsia="新細明體" w:hAnsi="Cambria" w:cs="Tahoma"/>
      <w:sz w:val="18"/>
      <w:szCs w:val="18"/>
    </w:rPr>
  </w:style>
  <w:style w:type="character" w:customStyle="1" w:styleId="ListLabel1">
    <w:name w:val="ListLabel 1"/>
    <w:rPr>
      <w:rFonts w:eastAsia="標楷體" w:cs="Times New Roman"/>
      <w:sz w:val="28"/>
    </w:rPr>
  </w:style>
  <w:style w:type="character" w:customStyle="1" w:styleId="ListLabel2">
    <w:name w:val="ListLabel 2"/>
    <w:rPr>
      <w:sz w:val="24"/>
    </w:rPr>
  </w:style>
  <w:style w:type="character" w:customStyle="1" w:styleId="ListLabel3">
    <w:name w:val="ListLabel 3"/>
    <w:rPr>
      <w:rFonts w:ascii="Calibri" w:eastAsia="標楷體" w:hAnsi="Calibri"/>
      <w:sz w:val="28"/>
    </w:rPr>
  </w:style>
  <w:style w:type="character" w:customStyle="1" w:styleId="ListLabel4">
    <w:name w:val="ListLabel 4"/>
    <w:rPr>
      <w:rFonts w:ascii="Calibri" w:eastAsia="標楷體" w:hAnsi="Calibri" w:cs="Times New Roman"/>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cs="Tahoma"/>
      <w:sz w:val="18"/>
      <w:szCs w:val="18"/>
    </w:rPr>
  </w:style>
  <w:style w:type="paragraph" w:styleId="a8">
    <w:name w:val="List Paragraph"/>
    <w:basedOn w:val="Standard"/>
    <w:pPr>
      <w:ind w:left="480"/>
    </w:p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mbria" w:eastAsia="新細明體" w:hAnsi="Cambria" w:cs="Tahoma"/>
      <w:sz w:val="18"/>
      <w:szCs w:val="18"/>
    </w:rPr>
  </w:style>
  <w:style w:type="character" w:customStyle="1" w:styleId="ListLabel1">
    <w:name w:val="ListLabel 1"/>
    <w:rPr>
      <w:rFonts w:eastAsia="標楷體" w:cs="Times New Roman"/>
      <w:sz w:val="28"/>
    </w:rPr>
  </w:style>
  <w:style w:type="character" w:customStyle="1" w:styleId="ListLabel2">
    <w:name w:val="ListLabel 2"/>
    <w:rPr>
      <w:sz w:val="24"/>
    </w:rPr>
  </w:style>
  <w:style w:type="character" w:customStyle="1" w:styleId="ListLabel3">
    <w:name w:val="ListLabel 3"/>
    <w:rPr>
      <w:rFonts w:ascii="Calibri" w:eastAsia="標楷體" w:hAnsi="Calibri"/>
      <w:sz w:val="28"/>
    </w:rPr>
  </w:style>
  <w:style w:type="character" w:customStyle="1" w:styleId="ListLabel4">
    <w:name w:val="ListLabel 4"/>
    <w:rPr>
      <w:rFonts w:ascii="Calibri" w:eastAsia="標楷體" w:hAnsi="Calibri" w:cs="Times New Roman"/>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50944</dc:creator>
  <cp:lastModifiedBy>user</cp:lastModifiedBy>
  <cp:revision>1</cp:revision>
  <cp:lastPrinted>2018-11-07T15:05:00Z</cp:lastPrinted>
  <dcterms:created xsi:type="dcterms:W3CDTF">2018-10-24T06:57:00Z</dcterms:created>
  <dcterms:modified xsi:type="dcterms:W3CDTF">2018-11-15T10:34:00Z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